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64" w:rsidRPr="005B21E3" w:rsidRDefault="008432A7" w:rsidP="00DB5C8F">
      <w:pPr>
        <w:jc w:val="center"/>
        <w:rPr>
          <w:rFonts w:ascii="Tahoma" w:hAnsi="Tahoma" w:cs="Tahoma"/>
          <w:b/>
          <w:bCs/>
        </w:rPr>
      </w:pPr>
      <w:r w:rsidRPr="005B21E3">
        <w:rPr>
          <w:rFonts w:ascii="Tahoma" w:hAnsi="Tahoma" w:cs="Tahoma"/>
        </w:rPr>
        <w:fldChar w:fldCharType="begin"/>
      </w:r>
      <w:r w:rsidRPr="005B21E3">
        <w:rPr>
          <w:rFonts w:ascii="Tahoma" w:hAnsi="Tahoma" w:cs="Tahoma"/>
        </w:rPr>
        <w:instrText xml:space="preserve"> TITLE  \* MERGEFORMAT </w:instrText>
      </w:r>
      <w:r w:rsidRPr="005B21E3">
        <w:rPr>
          <w:rFonts w:ascii="Tahoma" w:hAnsi="Tahoma" w:cs="Tahoma"/>
        </w:rPr>
        <w:fldChar w:fldCharType="separate"/>
      </w:r>
      <w:r w:rsidR="00DB3C64" w:rsidRPr="005B21E3">
        <w:rPr>
          <w:rFonts w:ascii="Tahoma" w:hAnsi="Tahoma" w:cs="Tahoma"/>
          <w:b/>
          <w:bCs/>
        </w:rPr>
        <w:t>Opis Przedmiotu Zamówienia</w:t>
      </w:r>
      <w:r w:rsidRPr="005B21E3">
        <w:rPr>
          <w:rFonts w:ascii="Tahoma" w:hAnsi="Tahoma" w:cs="Tahoma"/>
          <w:b/>
          <w:bCs/>
        </w:rPr>
        <w:fldChar w:fldCharType="end"/>
      </w:r>
    </w:p>
    <w:p w:rsidR="0000520F" w:rsidRPr="005B21E3" w:rsidRDefault="00427EA6" w:rsidP="00DB5C8F">
      <w:pPr>
        <w:tabs>
          <w:tab w:val="left" w:pos="851"/>
        </w:tabs>
        <w:spacing w:after="0" w:line="240" w:lineRule="auto"/>
        <w:ind w:right="-1"/>
        <w:jc w:val="both"/>
        <w:rPr>
          <w:rFonts w:ascii="Tahoma" w:hAnsi="Tahoma" w:cs="Tahoma"/>
        </w:rPr>
      </w:pPr>
      <w:r w:rsidRPr="005B21E3">
        <w:rPr>
          <w:rFonts w:ascii="Tahoma" w:hAnsi="Tahoma" w:cs="Tahoma"/>
        </w:rPr>
        <w:t xml:space="preserve">Dostawa </w:t>
      </w:r>
      <w:r w:rsidR="00DB5C8F" w:rsidRPr="005B21E3">
        <w:rPr>
          <w:rFonts w:ascii="Tahoma" w:hAnsi="Tahoma" w:cs="Tahoma"/>
        </w:rPr>
        <w:t xml:space="preserve">licencji </w:t>
      </w:r>
      <w:r w:rsidRPr="005B21E3">
        <w:rPr>
          <w:rFonts w:ascii="Tahoma" w:hAnsi="Tahoma" w:cs="Tahoma"/>
        </w:rPr>
        <w:t xml:space="preserve">oprogramowania </w:t>
      </w:r>
      <w:r w:rsidR="00DB5C8F" w:rsidRPr="005B21E3">
        <w:rPr>
          <w:rFonts w:ascii="Tahoma" w:hAnsi="Tahoma" w:cs="Tahoma"/>
        </w:rPr>
        <w:t xml:space="preserve">informatycznego </w:t>
      </w:r>
      <w:r w:rsidRPr="005B21E3">
        <w:rPr>
          <w:rFonts w:ascii="Tahoma" w:hAnsi="Tahoma" w:cs="Tahoma"/>
        </w:rPr>
        <w:t>na potrzeby Zarządu Transportu Miejskiego w Poznaniu.</w:t>
      </w:r>
    </w:p>
    <w:p w:rsidR="00DA7414" w:rsidRPr="005B21E3" w:rsidRDefault="00DA7414" w:rsidP="00DB5C8F">
      <w:pPr>
        <w:shd w:val="clear" w:color="auto" w:fill="FFFFFF"/>
        <w:tabs>
          <w:tab w:val="left" w:pos="269"/>
        </w:tabs>
        <w:contextualSpacing/>
        <w:jc w:val="both"/>
        <w:rPr>
          <w:rFonts w:ascii="Tahoma" w:hAnsi="Tahoma" w:cs="Tahoma"/>
          <w:bCs/>
          <w:color w:val="000000"/>
        </w:rPr>
      </w:pPr>
      <w:bookmarkStart w:id="0" w:name="_GoBack"/>
      <w:bookmarkEnd w:id="0"/>
    </w:p>
    <w:p w:rsidR="003F4CD2" w:rsidRPr="005B21E3" w:rsidRDefault="003F4CD2" w:rsidP="00DB5C8F">
      <w:pPr>
        <w:shd w:val="clear" w:color="auto" w:fill="FFFFFF"/>
        <w:tabs>
          <w:tab w:val="left" w:pos="269"/>
        </w:tabs>
        <w:contextualSpacing/>
        <w:jc w:val="both"/>
        <w:rPr>
          <w:rFonts w:ascii="Tahoma" w:hAnsi="Tahoma" w:cs="Tahoma"/>
          <w:b/>
          <w:bCs/>
          <w:color w:val="000000"/>
        </w:rPr>
      </w:pPr>
      <w:r w:rsidRPr="005B21E3">
        <w:rPr>
          <w:rFonts w:ascii="Tahoma" w:hAnsi="Tahoma" w:cs="Tahoma"/>
          <w:b/>
          <w:bCs/>
          <w:color w:val="000000"/>
        </w:rPr>
        <w:t>Kody CPV:</w:t>
      </w:r>
    </w:p>
    <w:p w:rsidR="00B664E3" w:rsidRPr="005B21E3" w:rsidRDefault="00B664E3" w:rsidP="00DB5C8F">
      <w:pPr>
        <w:shd w:val="clear" w:color="auto" w:fill="FFFFFF"/>
        <w:tabs>
          <w:tab w:val="left" w:pos="269"/>
        </w:tabs>
        <w:contextualSpacing/>
        <w:jc w:val="both"/>
        <w:rPr>
          <w:rFonts w:ascii="Tahoma" w:hAnsi="Tahoma" w:cs="Tahoma"/>
          <w:bCs/>
          <w:color w:val="000000"/>
        </w:rPr>
      </w:pPr>
      <w:bookmarkStart w:id="1" w:name="OLE_LINK86"/>
      <w:bookmarkStart w:id="2" w:name="OLE_LINK87"/>
      <w:r w:rsidRPr="005B21E3">
        <w:rPr>
          <w:rFonts w:ascii="Tahoma" w:hAnsi="Tahoma" w:cs="Tahoma"/>
          <w:bCs/>
          <w:color w:val="000000"/>
        </w:rPr>
        <w:t>48517000-5 –</w:t>
      </w:r>
      <w:r w:rsidR="00285AEC" w:rsidRPr="005B21E3">
        <w:rPr>
          <w:rFonts w:ascii="Tahoma" w:hAnsi="Tahoma" w:cs="Tahoma"/>
          <w:bCs/>
          <w:color w:val="000000"/>
        </w:rPr>
        <w:t xml:space="preserve"> </w:t>
      </w:r>
      <w:r w:rsidRPr="005B21E3">
        <w:rPr>
          <w:rFonts w:ascii="Tahoma" w:hAnsi="Tahoma" w:cs="Tahoma"/>
          <w:bCs/>
          <w:color w:val="000000"/>
        </w:rPr>
        <w:t>„Pakiety oprogramowania informatycznego”</w:t>
      </w:r>
    </w:p>
    <w:p w:rsidR="00A87FBD" w:rsidRPr="005B21E3" w:rsidRDefault="00F15BF7" w:rsidP="00DB5C8F">
      <w:pPr>
        <w:shd w:val="clear" w:color="auto" w:fill="FFFFFF"/>
        <w:tabs>
          <w:tab w:val="left" w:pos="269"/>
        </w:tabs>
        <w:contextualSpacing/>
        <w:jc w:val="both"/>
        <w:rPr>
          <w:rFonts w:ascii="Tahoma" w:hAnsi="Tahoma" w:cs="Tahoma"/>
          <w:bCs/>
          <w:color w:val="000000"/>
        </w:rPr>
      </w:pPr>
      <w:r w:rsidRPr="005B21E3">
        <w:rPr>
          <w:rFonts w:ascii="Tahoma" w:hAnsi="Tahoma" w:cs="Tahoma"/>
          <w:bCs/>
          <w:color w:val="000000"/>
        </w:rPr>
        <w:t>48000000-8 – „Pakiety oprogramowania i systemy informatyczne”</w:t>
      </w:r>
      <w:bookmarkEnd w:id="1"/>
      <w:bookmarkEnd w:id="2"/>
    </w:p>
    <w:p w:rsidR="00A87FBD" w:rsidRPr="005B21E3" w:rsidRDefault="00DB3C64" w:rsidP="00DB5C8F">
      <w:pPr>
        <w:pStyle w:val="Nagwek1"/>
        <w:jc w:val="both"/>
        <w:rPr>
          <w:rFonts w:cs="Tahoma"/>
        </w:rPr>
      </w:pPr>
      <w:r w:rsidRPr="005B21E3">
        <w:rPr>
          <w:rFonts w:cs="Tahoma"/>
        </w:rPr>
        <w:t>Informacje dotyczące przedmiotu zamówienia</w:t>
      </w:r>
    </w:p>
    <w:p w:rsidR="00F135EC" w:rsidRPr="005B21E3" w:rsidRDefault="00F76230" w:rsidP="00A26792">
      <w:pPr>
        <w:pStyle w:val="Nagwek2"/>
      </w:pPr>
      <w:r w:rsidRPr="005B21E3">
        <w:t>Wykaz oprogramowania</w:t>
      </w:r>
      <w:r w:rsidR="00E9321B">
        <w:t xml:space="preserve"> dla Części I</w:t>
      </w:r>
      <w:r w:rsidR="0055716C">
        <w:t>.</w:t>
      </w:r>
    </w:p>
    <w:p w:rsidR="00F01AE6" w:rsidRPr="005B21E3" w:rsidRDefault="002D611B" w:rsidP="00DB5C8F">
      <w:pPr>
        <w:pStyle w:val="Nagwek3"/>
        <w:rPr>
          <w:rFonts w:ascii="Tahoma" w:eastAsiaTheme="majorEastAsia" w:hAnsi="Tahoma" w:cs="Tahoma"/>
        </w:rPr>
      </w:pPr>
      <w:bookmarkStart w:id="3" w:name="OLE_LINK51"/>
      <w:bookmarkStart w:id="4" w:name="OLE_LINK52"/>
      <w:r w:rsidRPr="005B21E3">
        <w:rPr>
          <w:rFonts w:ascii="Tahoma" w:eastAsiaTheme="majorEastAsia" w:hAnsi="Tahoma" w:cs="Tahoma"/>
        </w:rPr>
        <w:t>Licencja o</w:t>
      </w:r>
      <w:r w:rsidR="00F01AE6" w:rsidRPr="005B21E3">
        <w:rPr>
          <w:rFonts w:ascii="Tahoma" w:eastAsiaTheme="majorEastAsia" w:hAnsi="Tahoma" w:cs="Tahoma"/>
        </w:rPr>
        <w:t>programowani</w:t>
      </w:r>
      <w:r w:rsidRPr="005B21E3">
        <w:rPr>
          <w:rFonts w:ascii="Tahoma" w:eastAsiaTheme="majorEastAsia" w:hAnsi="Tahoma" w:cs="Tahoma"/>
        </w:rPr>
        <w:t>a</w:t>
      </w:r>
      <w:r w:rsidR="00F01AE6" w:rsidRPr="005B21E3">
        <w:rPr>
          <w:rFonts w:ascii="Tahoma" w:eastAsiaTheme="majorEastAsia" w:hAnsi="Tahoma" w:cs="Tahoma"/>
        </w:rPr>
        <w:t xml:space="preserve"> systemu operacyjnego Microsoft Windows Server 201</w:t>
      </w:r>
      <w:r w:rsidR="00E37FF3" w:rsidRPr="005B21E3">
        <w:rPr>
          <w:rFonts w:ascii="Tahoma" w:eastAsiaTheme="majorEastAsia" w:hAnsi="Tahoma" w:cs="Tahoma"/>
        </w:rPr>
        <w:t>6</w:t>
      </w:r>
      <w:r w:rsidR="00F01AE6" w:rsidRPr="005B21E3">
        <w:rPr>
          <w:rFonts w:ascii="Tahoma" w:eastAsiaTheme="majorEastAsia" w:hAnsi="Tahoma" w:cs="Tahoma"/>
        </w:rPr>
        <w:t xml:space="preserve"> Standard</w:t>
      </w:r>
      <w:r w:rsidR="00E85668" w:rsidRPr="005B21E3">
        <w:rPr>
          <w:rFonts w:ascii="Tahoma" w:eastAsiaTheme="majorEastAsia" w:hAnsi="Tahoma" w:cs="Tahoma"/>
        </w:rPr>
        <w:t xml:space="preserve"> </w:t>
      </w:r>
      <w:proofErr w:type="spellStart"/>
      <w:r w:rsidR="00E85668" w:rsidRPr="005B21E3">
        <w:rPr>
          <w:rFonts w:ascii="Tahoma" w:eastAsiaTheme="majorEastAsia" w:hAnsi="Tahoma" w:cs="Tahoma"/>
        </w:rPr>
        <w:t>Core</w:t>
      </w:r>
      <w:proofErr w:type="spellEnd"/>
      <w:r w:rsidR="00F01AE6" w:rsidRPr="005B21E3">
        <w:rPr>
          <w:rFonts w:ascii="Tahoma" w:eastAsiaTheme="majorEastAsia" w:hAnsi="Tahoma" w:cs="Tahoma"/>
        </w:rPr>
        <w:t xml:space="preserve"> w polskiej wersji językowej lub produkt równoważny:</w:t>
      </w:r>
    </w:p>
    <w:bookmarkEnd w:id="3"/>
    <w:bookmarkEnd w:id="4"/>
    <w:p w:rsidR="003D24E3" w:rsidRPr="005B21E3" w:rsidRDefault="00E37FF3" w:rsidP="00DB5C8F">
      <w:pPr>
        <w:ind w:left="11"/>
        <w:jc w:val="both"/>
        <w:rPr>
          <w:rFonts w:ascii="Tahoma" w:eastAsiaTheme="majorEastAsia" w:hAnsi="Tahoma" w:cs="Tahoma"/>
          <w:bCs/>
        </w:rPr>
      </w:pPr>
      <w:r w:rsidRPr="005B21E3">
        <w:rPr>
          <w:rFonts w:ascii="Tahoma" w:eastAsiaTheme="majorEastAsia" w:hAnsi="Tahoma" w:cs="Tahoma"/>
          <w:b/>
          <w:bCs/>
        </w:rPr>
        <w:t>8</w:t>
      </w:r>
      <w:r w:rsidR="00F01AE6" w:rsidRPr="005B21E3">
        <w:rPr>
          <w:rFonts w:ascii="Tahoma" w:eastAsiaTheme="majorEastAsia" w:hAnsi="Tahoma" w:cs="Tahoma"/>
          <w:b/>
          <w:bCs/>
        </w:rPr>
        <w:t xml:space="preserve"> licencj</w:t>
      </w:r>
      <w:r w:rsidRPr="005B21E3">
        <w:rPr>
          <w:rFonts w:ascii="Tahoma" w:eastAsiaTheme="majorEastAsia" w:hAnsi="Tahoma" w:cs="Tahoma"/>
          <w:b/>
          <w:bCs/>
        </w:rPr>
        <w:t>i</w:t>
      </w:r>
      <w:r w:rsidR="00F01AE6" w:rsidRPr="005B21E3">
        <w:rPr>
          <w:rFonts w:ascii="Tahoma" w:eastAsiaTheme="majorEastAsia" w:hAnsi="Tahoma" w:cs="Tahoma"/>
          <w:bCs/>
        </w:rPr>
        <w:t xml:space="preserve"> oprogramowania</w:t>
      </w:r>
      <w:r w:rsidR="00E85668" w:rsidRPr="005B21E3">
        <w:rPr>
          <w:rFonts w:ascii="Tahoma" w:eastAsiaTheme="majorEastAsia" w:hAnsi="Tahoma" w:cs="Tahoma"/>
          <w:bCs/>
        </w:rPr>
        <w:t xml:space="preserve"> </w:t>
      </w:r>
      <w:r w:rsidR="00EA5D88" w:rsidRPr="005B21E3">
        <w:rPr>
          <w:rFonts w:ascii="Tahoma" w:eastAsiaTheme="majorEastAsia" w:hAnsi="Tahoma" w:cs="Tahoma"/>
          <w:bCs/>
        </w:rPr>
        <w:t>dla instytucji samo</w:t>
      </w:r>
      <w:r w:rsidR="002D611B" w:rsidRPr="005B21E3">
        <w:rPr>
          <w:rFonts w:ascii="Tahoma" w:eastAsiaTheme="majorEastAsia" w:hAnsi="Tahoma" w:cs="Tahoma"/>
          <w:bCs/>
        </w:rPr>
        <w:t>rządow</w:t>
      </w:r>
      <w:r w:rsidR="00EA5D88" w:rsidRPr="005B21E3">
        <w:rPr>
          <w:rFonts w:ascii="Tahoma" w:eastAsiaTheme="majorEastAsia" w:hAnsi="Tahoma" w:cs="Tahoma"/>
          <w:bCs/>
        </w:rPr>
        <w:t>ych</w:t>
      </w:r>
      <w:r w:rsidR="00F01AE6" w:rsidRPr="005B21E3">
        <w:rPr>
          <w:rFonts w:ascii="Tahoma" w:eastAsiaTheme="majorEastAsia" w:hAnsi="Tahoma" w:cs="Tahoma"/>
          <w:bCs/>
        </w:rPr>
        <w:t>, na nośniku CD</w:t>
      </w:r>
      <w:r w:rsidR="00833F72" w:rsidRPr="005B21E3">
        <w:rPr>
          <w:rFonts w:ascii="Tahoma" w:eastAsiaTheme="majorEastAsia" w:hAnsi="Tahoma" w:cs="Tahoma"/>
          <w:bCs/>
        </w:rPr>
        <w:t>/</w:t>
      </w:r>
      <w:r w:rsidR="00F01AE6" w:rsidRPr="005B21E3">
        <w:rPr>
          <w:rFonts w:ascii="Tahoma" w:eastAsiaTheme="majorEastAsia" w:hAnsi="Tahoma" w:cs="Tahoma"/>
          <w:bCs/>
        </w:rPr>
        <w:t>DVD lub udostępnienie oprogramowania drogą elektroniczną poprzez dostęp do strony internetowej zawierającej dane oprogramowanie. Licencja – bez ograniczeń czasowych.</w:t>
      </w:r>
    </w:p>
    <w:p w:rsidR="00F01AE6" w:rsidRPr="005B21E3" w:rsidRDefault="00F01AE6" w:rsidP="00DB5C8F">
      <w:pPr>
        <w:ind w:left="11"/>
        <w:jc w:val="both"/>
        <w:rPr>
          <w:rFonts w:ascii="Tahoma" w:eastAsiaTheme="majorEastAsia" w:hAnsi="Tahoma" w:cs="Tahoma"/>
          <w:b/>
          <w:bCs/>
        </w:rPr>
      </w:pPr>
      <w:r w:rsidRPr="005B21E3">
        <w:rPr>
          <w:rFonts w:ascii="Tahoma" w:eastAsiaTheme="majorEastAsia" w:hAnsi="Tahoma" w:cs="Tahoma"/>
          <w:bCs/>
        </w:rPr>
        <w:t xml:space="preserve">Warunki licencjonowania muszą zezwalać na </w:t>
      </w:r>
      <w:r w:rsidR="00FD2A4E" w:rsidRPr="005B21E3">
        <w:rPr>
          <w:rFonts w:ascii="Tahoma" w:eastAsiaTheme="majorEastAsia" w:hAnsi="Tahoma" w:cs="Tahoma"/>
          <w:bCs/>
        </w:rPr>
        <w:t xml:space="preserve">korzystanie oprogramowania na maszynie wirtualnej posiadającej 8 rdzeni oraz </w:t>
      </w:r>
      <w:r w:rsidRPr="005B21E3">
        <w:rPr>
          <w:rFonts w:ascii="Tahoma" w:eastAsiaTheme="majorEastAsia" w:hAnsi="Tahoma" w:cs="Tahoma"/>
          <w:bCs/>
        </w:rPr>
        <w:t>zmianę wersji systemu operacyjnego na niższą z zachowaniem wsparcia technicznego oraz na przeniesienie licencji systemu operacyjnego na inny fizyczny serwer.</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F01AE6" w:rsidRPr="005B21E3" w:rsidTr="002F5515">
        <w:trPr>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F01AE6" w:rsidRPr="005B21E3" w:rsidRDefault="00F01AE6" w:rsidP="00DB5C8F">
            <w:pPr>
              <w:autoSpaceDE w:val="0"/>
              <w:autoSpaceDN w:val="0"/>
              <w:adjustRightInd w:val="0"/>
              <w:jc w:val="both"/>
              <w:rPr>
                <w:rFonts w:ascii="Tahoma" w:hAnsi="Tahoma" w:cs="Tahoma"/>
                <w:b/>
                <w:bCs/>
              </w:rPr>
            </w:pPr>
            <w:bookmarkStart w:id="5" w:name="OLE_LINK5"/>
            <w:bookmarkStart w:id="6" w:name="OLE_LINK6"/>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F01AE6" w:rsidRPr="005B21E3" w:rsidRDefault="00F01AE6" w:rsidP="00DB5C8F">
            <w:pPr>
              <w:jc w:val="both"/>
              <w:rPr>
                <w:rFonts w:ascii="Tahoma" w:eastAsiaTheme="majorEastAsia" w:hAnsi="Tahoma" w:cs="Tahoma"/>
                <w:bCs/>
              </w:rPr>
            </w:pPr>
            <w:r w:rsidRPr="005B21E3">
              <w:rPr>
                <w:rFonts w:ascii="Tahoma" w:hAnsi="Tahoma" w:cs="Tahoma"/>
                <w:b/>
                <w:bCs/>
              </w:rPr>
              <w:t>Warunek równoważności</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Współpraca z procesorami o architekturze x86-64</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Instalacja i użytkowanie aplikacji 32-bit. i 64-bit. na dostarczonym systemie operacyjnym</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E37FF3">
            <w:pPr>
              <w:ind w:left="11"/>
              <w:jc w:val="both"/>
              <w:rPr>
                <w:rFonts w:ascii="Tahoma" w:eastAsiaTheme="majorEastAsia" w:hAnsi="Tahoma" w:cs="Tahoma"/>
                <w:bCs/>
              </w:rPr>
            </w:pPr>
            <w:r w:rsidRPr="005B21E3">
              <w:rPr>
                <w:rFonts w:ascii="Tahoma" w:eastAsiaTheme="majorEastAsia" w:hAnsi="Tahoma" w:cs="Tahoma"/>
                <w:bCs/>
              </w:rPr>
              <w:t xml:space="preserve">W ramach dostarczonej licencji zawarta możliwość instalacji oprogramowania na serwerze wyposażonym w </w:t>
            </w:r>
            <w:r w:rsidR="00E37FF3" w:rsidRPr="005B21E3">
              <w:rPr>
                <w:rFonts w:ascii="Tahoma" w:eastAsiaTheme="majorEastAsia" w:hAnsi="Tahoma" w:cs="Tahoma"/>
                <w:bCs/>
              </w:rPr>
              <w:t>8</w:t>
            </w:r>
            <w:r w:rsidRPr="005B21E3">
              <w:rPr>
                <w:rFonts w:ascii="Tahoma" w:eastAsiaTheme="majorEastAsia" w:hAnsi="Tahoma" w:cs="Tahoma"/>
                <w:bCs/>
              </w:rPr>
              <w:t xml:space="preserve"> </w:t>
            </w:r>
            <w:r w:rsidR="00E37FF3" w:rsidRPr="005B21E3">
              <w:rPr>
                <w:rFonts w:ascii="Tahoma" w:eastAsiaTheme="majorEastAsia" w:hAnsi="Tahoma" w:cs="Tahoma"/>
                <w:bCs/>
              </w:rPr>
              <w:t>rdzeni</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Obsługa 64 procesorów fizycznych oraz co najmniej 64 procesorów logicznych (wirtualnych)</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Pojemność obsługiwanej pamięci RAM w ramach jednej instancji systemu operacyjnego - co najmniej 4TB</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Obsługa dostępu wielościeżkowego do zasobów LAN poprzez kontrolery Gigabit Ethernet, w trybie równoważenia obciążenia łącza (</w:t>
            </w:r>
            <w:proofErr w:type="spellStart"/>
            <w:r w:rsidRPr="005B21E3">
              <w:rPr>
                <w:rFonts w:ascii="Tahoma" w:eastAsiaTheme="majorEastAsia" w:hAnsi="Tahoma" w:cs="Tahoma"/>
                <w:bCs/>
              </w:rPr>
              <w:t>load</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balancing</w:t>
            </w:r>
            <w:proofErr w:type="spellEnd"/>
            <w:r w:rsidRPr="005B21E3">
              <w:rPr>
                <w:rFonts w:ascii="Tahoma" w:eastAsiaTheme="majorEastAsia" w:hAnsi="Tahoma" w:cs="Tahoma"/>
                <w:bCs/>
              </w:rPr>
              <w:t>) i redundancji łącza (</w:t>
            </w:r>
            <w:proofErr w:type="spellStart"/>
            <w:r w:rsidRPr="005B21E3">
              <w:rPr>
                <w:rFonts w:ascii="Tahoma" w:eastAsiaTheme="majorEastAsia" w:hAnsi="Tahoma" w:cs="Tahoma"/>
                <w:bCs/>
              </w:rPr>
              <w:t>failover</w:t>
            </w:r>
            <w:proofErr w:type="spellEnd"/>
            <w:r w:rsidRPr="005B21E3">
              <w:rPr>
                <w:rFonts w:ascii="Tahoma" w:eastAsiaTheme="majorEastAsia" w:hAnsi="Tahoma" w:cs="Tahoma"/>
                <w:bCs/>
              </w:rPr>
              <w:t>) – natywnie lub z wykorzystaniem sterowników producenta sprzętu</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Praca w roli klienta dom</w:t>
            </w:r>
            <w:r w:rsidR="00804F1F" w:rsidRPr="005B21E3">
              <w:rPr>
                <w:rFonts w:ascii="Tahoma" w:eastAsiaTheme="majorEastAsia" w:hAnsi="Tahoma" w:cs="Tahoma"/>
                <w:bCs/>
              </w:rPr>
              <w:t>eny Microsoft Active Directory.</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E37FF3">
            <w:pPr>
              <w:ind w:left="11"/>
              <w:jc w:val="both"/>
              <w:rPr>
                <w:rFonts w:ascii="Tahoma" w:eastAsiaTheme="majorEastAsia" w:hAnsi="Tahoma" w:cs="Tahoma"/>
                <w:bCs/>
              </w:rPr>
            </w:pPr>
            <w:r w:rsidRPr="005B21E3">
              <w:rPr>
                <w:rFonts w:ascii="Tahoma" w:eastAsiaTheme="majorEastAsia" w:hAnsi="Tahoma" w:cs="Tahoma"/>
                <w:bCs/>
              </w:rPr>
              <w:t>Zawarta możliwość uruchomienia roli kontrolera domeny Microsoft Active Directory na poziomie Microsoft Windows Server 2012</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 xml:space="preserve">Zawarta możliwość uruchomienia roli serwera DHCP, w tym funkcji </w:t>
            </w:r>
            <w:proofErr w:type="spellStart"/>
            <w:r w:rsidRPr="005B21E3">
              <w:rPr>
                <w:rFonts w:ascii="Tahoma" w:eastAsiaTheme="majorEastAsia" w:hAnsi="Tahoma" w:cs="Tahoma"/>
                <w:bCs/>
              </w:rPr>
              <w:t>klastrowania</w:t>
            </w:r>
            <w:proofErr w:type="spellEnd"/>
            <w:r w:rsidRPr="005B21E3">
              <w:rPr>
                <w:rFonts w:ascii="Tahoma" w:eastAsiaTheme="majorEastAsia" w:hAnsi="Tahoma" w:cs="Tahoma"/>
                <w:bCs/>
              </w:rPr>
              <w:t xml:space="preserve"> serwera DHCP (możliwość uruchomienia dwóch serwerów DHCP operujących jednocześnie na tej samej puli oferowanych adresów IP)</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DNS</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klienta i serwera czasu (NTP)</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plików z uwierzytelnieniem i autoryzacją dostępu w domenie Microsoft Active Directory</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wydruku z uwierzytelnieniem i autoryzacją dostępu w domenie Microsoft Active Directory</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stron WWW</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 xml:space="preserve">W ramach dostarczonej licencji zawarte prawo do użytkowania i dostęp do oprogramowania oferowanego przez producenta systemu operacyjnego umożliwiającego </w:t>
            </w:r>
            <w:proofErr w:type="spellStart"/>
            <w:r w:rsidRPr="005B21E3">
              <w:rPr>
                <w:rFonts w:ascii="Tahoma" w:eastAsiaTheme="majorEastAsia" w:hAnsi="Tahoma" w:cs="Tahoma"/>
                <w:bCs/>
              </w:rPr>
              <w:t>wirtualizowanie</w:t>
            </w:r>
            <w:proofErr w:type="spellEnd"/>
            <w:r w:rsidRPr="005B21E3">
              <w:rPr>
                <w:rFonts w:ascii="Tahoma" w:eastAsiaTheme="majorEastAsia" w:hAnsi="Tahoma" w:cs="Tahoma"/>
                <w:bCs/>
              </w:rPr>
              <w:t xml:space="preserve"> zasobów sprzętowych serwera</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bookmarkStart w:id="7" w:name="OLE_LINK7"/>
            <w:bookmarkStart w:id="8" w:name="OLE_LINK8"/>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 xml:space="preserve">W ramach dostarczonej licencji zawarte prawo do instalacji i użytkowania systemu operacyjnego na co najmniej </w:t>
            </w:r>
            <w:r w:rsidR="00804F1F" w:rsidRPr="005B21E3">
              <w:rPr>
                <w:rFonts w:ascii="Tahoma" w:eastAsiaTheme="majorEastAsia" w:hAnsi="Tahoma" w:cs="Tahoma"/>
                <w:bCs/>
              </w:rPr>
              <w:t>dwóch</w:t>
            </w:r>
            <w:r w:rsidRPr="005B21E3">
              <w:rPr>
                <w:rFonts w:ascii="Tahoma" w:eastAsiaTheme="majorEastAsia" w:hAnsi="Tahoma" w:cs="Tahoma"/>
                <w:bCs/>
              </w:rPr>
              <w:t xml:space="preserve"> maszynach wirtualnych</w:t>
            </w:r>
            <w:r w:rsidR="00804F1F" w:rsidRPr="005B21E3">
              <w:rPr>
                <w:rFonts w:ascii="Tahoma" w:eastAsiaTheme="majorEastAsia" w:hAnsi="Tahoma" w:cs="Tahoma"/>
                <w:bCs/>
              </w:rPr>
              <w:t>.</w:t>
            </w:r>
          </w:p>
        </w:tc>
      </w:tr>
      <w:bookmarkEnd w:id="7"/>
      <w:bookmarkEnd w:id="8"/>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W ramach dostarczonej licencji zawarte prawo do pobierania poprawek systemu operacyjnego</w:t>
            </w:r>
            <w:r w:rsidR="00804F1F" w:rsidRPr="005B21E3">
              <w:rPr>
                <w:rFonts w:ascii="Tahoma" w:eastAsiaTheme="majorEastAsia" w:hAnsi="Tahoma" w:cs="Tahoma"/>
                <w:bCs/>
              </w:rPr>
              <w:t>.</w:t>
            </w:r>
          </w:p>
        </w:tc>
      </w:tr>
      <w:tr w:rsidR="00F01AE6" w:rsidRPr="005B21E3" w:rsidTr="002F5515">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F01AE6" w:rsidRPr="005B21E3" w:rsidRDefault="00F01AE6" w:rsidP="0044167A">
            <w:pPr>
              <w:pStyle w:val="Akapitzlist"/>
              <w:numPr>
                <w:ilvl w:val="0"/>
                <w:numId w:val="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01AE6" w:rsidRPr="005B21E3" w:rsidRDefault="00F01AE6" w:rsidP="00DB5C8F">
            <w:pPr>
              <w:ind w:left="11"/>
              <w:jc w:val="both"/>
              <w:rPr>
                <w:rFonts w:ascii="Tahoma" w:eastAsiaTheme="majorEastAsia" w:hAnsi="Tahoma" w:cs="Tahoma"/>
                <w:bCs/>
              </w:rPr>
            </w:pPr>
            <w:r w:rsidRPr="005B21E3">
              <w:rPr>
                <w:rFonts w:ascii="Tahoma" w:eastAsiaTheme="majorEastAsia" w:hAnsi="Tahoma" w:cs="Tahoma"/>
                <w:bCs/>
              </w:rPr>
              <w:t>Wszystkie wymienione w tabeli parametry, role, funkcje, itp. systemu operacyjnego objęte są dostarczoną licencją (licencjami) i zawarte w dostarczonej wersji oprogramowania (nie wymagają ponoszenia przez Zamawiającego dodatkowych kosztów)</w:t>
            </w:r>
            <w:r w:rsidR="00804F1F" w:rsidRPr="005B21E3">
              <w:rPr>
                <w:rFonts w:ascii="Tahoma" w:eastAsiaTheme="majorEastAsia" w:hAnsi="Tahoma" w:cs="Tahoma"/>
                <w:bCs/>
              </w:rPr>
              <w:t>.</w:t>
            </w:r>
          </w:p>
        </w:tc>
      </w:tr>
      <w:bookmarkEnd w:id="5"/>
      <w:bookmarkEnd w:id="6"/>
    </w:tbl>
    <w:p w:rsidR="00F01AE6" w:rsidRPr="005B21E3" w:rsidRDefault="00F01AE6" w:rsidP="00DB5C8F">
      <w:pPr>
        <w:ind w:left="11"/>
        <w:jc w:val="both"/>
        <w:rPr>
          <w:rFonts w:ascii="Tahoma" w:eastAsiaTheme="majorEastAsia" w:hAnsi="Tahoma" w:cs="Tahoma"/>
          <w:b/>
          <w:bCs/>
        </w:rPr>
      </w:pPr>
    </w:p>
    <w:p w:rsidR="00E85668" w:rsidRPr="005B21E3" w:rsidRDefault="00E85668" w:rsidP="00E85668">
      <w:pPr>
        <w:pStyle w:val="Nagwek3"/>
        <w:rPr>
          <w:rFonts w:ascii="Tahoma" w:eastAsiaTheme="majorEastAsia" w:hAnsi="Tahoma" w:cs="Tahoma"/>
        </w:rPr>
      </w:pPr>
      <w:bookmarkStart w:id="9" w:name="OLE_LINK69"/>
      <w:bookmarkStart w:id="10" w:name="OLE_LINK70"/>
      <w:r w:rsidRPr="005B21E3">
        <w:rPr>
          <w:rFonts w:ascii="Tahoma" w:eastAsiaTheme="majorEastAsia" w:hAnsi="Tahoma" w:cs="Tahoma"/>
        </w:rPr>
        <w:t xml:space="preserve">Licencja oprogramowania serwera relacyjnej bazy danych Microsoft SQL Server 2016 Standard </w:t>
      </w:r>
      <w:proofErr w:type="spellStart"/>
      <w:r w:rsidRPr="005B21E3">
        <w:rPr>
          <w:rFonts w:ascii="Tahoma" w:eastAsiaTheme="majorEastAsia" w:hAnsi="Tahoma" w:cs="Tahoma"/>
        </w:rPr>
        <w:t>Core</w:t>
      </w:r>
      <w:proofErr w:type="spellEnd"/>
      <w:r w:rsidRPr="005B21E3">
        <w:rPr>
          <w:rFonts w:ascii="Tahoma" w:eastAsiaTheme="majorEastAsia" w:hAnsi="Tahoma" w:cs="Tahoma"/>
        </w:rPr>
        <w:t xml:space="preserve"> lub produkt równoważny:</w:t>
      </w:r>
    </w:p>
    <w:p w:rsidR="00E85668" w:rsidRPr="005B21E3" w:rsidRDefault="00E85668" w:rsidP="00E85668">
      <w:pPr>
        <w:ind w:left="11"/>
        <w:jc w:val="both"/>
        <w:rPr>
          <w:rFonts w:ascii="Tahoma" w:eastAsiaTheme="majorEastAsia" w:hAnsi="Tahoma" w:cs="Tahoma"/>
          <w:bCs/>
        </w:rPr>
      </w:pPr>
      <w:r w:rsidRPr="005B21E3">
        <w:rPr>
          <w:rFonts w:ascii="Tahoma" w:eastAsiaTheme="majorEastAsia" w:hAnsi="Tahoma" w:cs="Tahoma"/>
          <w:b/>
          <w:bCs/>
        </w:rPr>
        <w:t xml:space="preserve">4 licencje </w:t>
      </w:r>
      <w:r w:rsidRPr="005B21E3">
        <w:rPr>
          <w:rFonts w:ascii="Tahoma" w:eastAsiaTheme="majorEastAsia" w:hAnsi="Tahoma" w:cs="Tahoma"/>
          <w:bCs/>
        </w:rPr>
        <w:t>oprogramowania dla instytuc</w:t>
      </w:r>
      <w:r w:rsidR="00833F72" w:rsidRPr="005B21E3">
        <w:rPr>
          <w:rFonts w:ascii="Tahoma" w:eastAsiaTheme="majorEastAsia" w:hAnsi="Tahoma" w:cs="Tahoma"/>
          <w:bCs/>
        </w:rPr>
        <w:t>ji samorządowych, na nośniku CD/</w:t>
      </w:r>
      <w:r w:rsidRPr="005B21E3">
        <w:rPr>
          <w:rFonts w:ascii="Tahoma" w:eastAsiaTheme="majorEastAsia" w:hAnsi="Tahoma" w:cs="Tahoma"/>
          <w:bCs/>
        </w:rPr>
        <w:t>DVD lub udostępnienie oprogramowania drogą elektroniczną poprzez dostęp do strony internetowej zawierającej dane oprogramowanie. Licencja – bez ograniczeń czasowych. Warunki licencjonowania muszą zezwalać na korzystanie serwera relacyjnej bazy danych (SBD)</w:t>
      </w:r>
      <w:r w:rsidR="00B7680A" w:rsidRPr="005B21E3">
        <w:rPr>
          <w:rFonts w:ascii="Tahoma" w:eastAsiaTheme="majorEastAsia" w:hAnsi="Tahoma" w:cs="Tahoma"/>
          <w:bCs/>
        </w:rPr>
        <w:t xml:space="preserve"> na maszynie wirtualnej posiadającej 8 rdzeni, zmianę wersji </w:t>
      </w:r>
      <w:r w:rsidRPr="005B21E3">
        <w:rPr>
          <w:rFonts w:ascii="Tahoma" w:eastAsiaTheme="majorEastAsia" w:hAnsi="Tahoma" w:cs="Tahoma"/>
          <w:bCs/>
        </w:rPr>
        <w:t>na niższą z zachowaniem wsparcia technicznego oraz na przeniesienie licencji SBD na inny fizyczny serwer.</w:t>
      </w:r>
      <w:r w:rsidR="00B7680A" w:rsidRPr="005B21E3">
        <w:rPr>
          <w:rFonts w:ascii="Tahoma" w:eastAsiaTheme="majorEastAsia" w:hAnsi="Tahoma" w:cs="Tahoma"/>
          <w:bCs/>
        </w:rPr>
        <w:t xml:space="preserve"> Zamawiający wymaga, iż oprogramowanie SBD musi mieć wsparcie techniczne producenta (tzw. Software Assurance lub równoważna nazwa wsparcia technicznego producenta) i posiada aktywną umowę </w:t>
      </w:r>
      <w:r w:rsidR="00541684" w:rsidRPr="005B21E3">
        <w:rPr>
          <w:rFonts w:ascii="Tahoma" w:eastAsiaTheme="majorEastAsia" w:hAnsi="Tahoma" w:cs="Tahoma"/>
          <w:bCs/>
        </w:rPr>
        <w:t xml:space="preserve">Microsoft </w:t>
      </w:r>
      <w:r w:rsidR="00B7680A" w:rsidRPr="005B21E3">
        <w:rPr>
          <w:rFonts w:ascii="Tahoma" w:eastAsiaTheme="majorEastAsia" w:hAnsi="Tahoma" w:cs="Tahoma"/>
          <w:bCs/>
        </w:rPr>
        <w:t>Open</w:t>
      </w:r>
      <w:r w:rsidR="00541684" w:rsidRPr="005B21E3">
        <w:rPr>
          <w:rFonts w:ascii="Tahoma" w:eastAsiaTheme="majorEastAsia" w:hAnsi="Tahoma" w:cs="Tahoma"/>
          <w:bCs/>
        </w:rPr>
        <w:t>.</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E85668" w:rsidRPr="005B21E3" w:rsidTr="008F66B6">
        <w:trPr>
          <w:tblHeader/>
        </w:trPr>
        <w:tc>
          <w:tcPr>
            <w:tcW w:w="525" w:type="dxa"/>
            <w:shd w:val="clear" w:color="auto" w:fill="BFBFBF" w:themeFill="background1" w:themeFillShade="BF"/>
            <w:tcMar>
              <w:top w:w="55" w:type="dxa"/>
              <w:left w:w="55" w:type="dxa"/>
              <w:bottom w:w="55" w:type="dxa"/>
              <w:right w:w="55" w:type="dxa"/>
            </w:tcMar>
            <w:vAlign w:val="center"/>
            <w:hideMark/>
          </w:tcPr>
          <w:p w:rsidR="00E85668" w:rsidRPr="005B21E3" w:rsidRDefault="00E85668" w:rsidP="008F66B6">
            <w:pPr>
              <w:autoSpaceDE w:val="0"/>
              <w:autoSpaceDN w:val="0"/>
              <w:adjustRightInd w:val="0"/>
              <w:jc w:val="both"/>
              <w:rPr>
                <w:rFonts w:ascii="Tahoma" w:hAnsi="Tahoma" w:cs="Tahoma"/>
                <w:b/>
                <w:bCs/>
              </w:rPr>
            </w:pPr>
            <w:r w:rsidRPr="005B21E3">
              <w:rPr>
                <w:rFonts w:ascii="Tahoma" w:hAnsi="Tahoma" w:cs="Tahoma"/>
                <w:b/>
                <w:bCs/>
              </w:rPr>
              <w:lastRenderedPageBreak/>
              <w:t xml:space="preserve">Lp. </w:t>
            </w:r>
          </w:p>
        </w:tc>
        <w:tc>
          <w:tcPr>
            <w:tcW w:w="9120" w:type="dxa"/>
            <w:shd w:val="clear" w:color="auto" w:fill="BFBFBF" w:themeFill="background1" w:themeFillShade="BF"/>
            <w:tcMar>
              <w:top w:w="55" w:type="dxa"/>
              <w:left w:w="55" w:type="dxa"/>
              <w:bottom w:w="55" w:type="dxa"/>
              <w:right w:w="55" w:type="dxa"/>
            </w:tcMar>
            <w:vAlign w:val="center"/>
            <w:hideMark/>
          </w:tcPr>
          <w:p w:rsidR="00E85668" w:rsidRPr="005B21E3" w:rsidRDefault="00E85668" w:rsidP="008F66B6">
            <w:pPr>
              <w:jc w:val="both"/>
              <w:rPr>
                <w:rFonts w:ascii="Tahoma" w:eastAsiaTheme="majorEastAsia" w:hAnsi="Tahoma" w:cs="Tahoma"/>
                <w:bCs/>
              </w:rPr>
            </w:pPr>
            <w:r w:rsidRPr="005B21E3">
              <w:rPr>
                <w:rFonts w:ascii="Tahoma" w:hAnsi="Tahoma" w:cs="Tahoma"/>
                <w:b/>
                <w:bCs/>
              </w:rPr>
              <w:t>Warunek równoważności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Dedykowana sesja administracyjna - SBD musi pozwalać na zdalne połączenie sesji administratora systemu bazy danych w sposób niezależny od normalnych sesji klientów.</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automatycznej aktualizacji systemu - SBD musi umożliwiać automatyczne ściąganie i instalację wszelkich poprawek producenta oprogramowania (redukowania zagrożeń powodowanych przez znane luki w zabezpieczeniach oprogramowania).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SBD musi umożliwiać tworzenie klastrów niezawodnościowych.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Wysoka dostępność - SBD musi posiadać mechanizm pozwalający na duplikację bazy danych między dwiema lokalizacjami (podstawowa i zapasowa) przy zachowaniu następujących cech:</w:t>
            </w:r>
          </w:p>
          <w:p w:rsidR="00E85668" w:rsidRPr="005B21E3" w:rsidRDefault="00E85668"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bez specjalnego sprzętu (rozwiązanie tylko programowe oparte o sam SBD),</w:t>
            </w:r>
          </w:p>
          <w:p w:rsidR="00E85668" w:rsidRPr="005B21E3" w:rsidRDefault="00E85668"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niezawodne powielanie danych w czasie rzeczywistym (potwierdzone transakcje bazodanowe),</w:t>
            </w:r>
          </w:p>
          <w:p w:rsidR="00E85668" w:rsidRPr="005B21E3" w:rsidRDefault="00E85668"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klienci bazy danych automatycznie korzystają z bazy zapasowej w przypadku awarii bazy podstawowej bez zmian w aplikacjach.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Kompresja kopii zapasowych - SBD musi pozwalać na kompresję kopii zapasowej danych (backup) w trakcie jej tworzenia. Powinna to być cecha SBD niezależna od funkcji systemu operacyjnego ani od sprzętowego rozwiązania archiwizacji danych.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5B21E3">
              <w:rPr>
                <w:rFonts w:ascii="Tahoma" w:eastAsiaTheme="majorEastAsia" w:hAnsi="Tahoma" w:cs="Tahoma"/>
                <w:bCs/>
              </w:rPr>
              <w:t>Triple</w:t>
            </w:r>
            <w:proofErr w:type="spellEnd"/>
            <w:r w:rsidRPr="005B21E3">
              <w:rPr>
                <w:rFonts w:ascii="Tahoma" w:eastAsiaTheme="majorEastAsia" w:hAnsi="Tahoma" w:cs="Tahoma"/>
                <w:bCs/>
              </w:rPr>
              <w:t xml:space="preserve"> DES. Mechanizm ten nie może wymagać konieczności uprzedniego szyfrowania bazy danych.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E85668" w:rsidRPr="005B21E3" w:rsidRDefault="00E85668"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odczyt/zapis danych na dysku dla zapytań wykonywanych do baz danych (w celu wychwytywania zapytań znacząco obciążających system),</w:t>
            </w:r>
          </w:p>
          <w:p w:rsidR="00E85668" w:rsidRPr="005B21E3" w:rsidRDefault="00E85668"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wykonanie zapytania lub procedury trwające dłużej niż zdefiniowany czas (wychwytywanie długo trwających zapytań lub procedur),</w:t>
            </w:r>
          </w:p>
          <w:p w:rsidR="00E85668" w:rsidRPr="005B21E3" w:rsidRDefault="00E85668"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para zdarzeń zablokowanie/zwolnienie blokady na obiekcie bazy (w celu wychwytywania długotrwałych blokad obiektów bazy).</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Wsparcie dla technologii XML - SBD musi udostępniać mechanizmy składowania i obróbki danych w postaci struktur XML. W szczególności musi:</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typ danych do przechowywania kompletnych dokumentów XML w jednym polu tabeli,</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lastRenderedPageBreak/>
              <w:t>udostępniać mechanizm walidacji struktur XML-owych względem jednego lub wielu szablonów XSD,</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język zapytań do struktur XML,</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język modyfikacji danych (DML) w strukturach XML (dodawanie, usuwanie i modyfikację zawartości struktur XML),</w:t>
            </w:r>
          </w:p>
          <w:p w:rsidR="00E85668" w:rsidRPr="005B21E3" w:rsidRDefault="00E85668"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możliwość indeksowania struktur XML-owych w celu optymalizacji wykonywania zapytań.</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E85668" w:rsidRPr="005B21E3" w:rsidRDefault="00E85668"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zapewniać możliwość wykorzystywania szerokości i długości geograficznej do opisu lokalizacji obiektów,</w:t>
            </w:r>
          </w:p>
          <w:p w:rsidR="00E85668" w:rsidRPr="005B21E3" w:rsidRDefault="00E85668"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oferować wiele metod, które pozwalają na łatwe operowanie kształtami czy bryłami, testowanie ich wzajemnego ułożenia w układach współrzędnych oraz dokonywanie obliczeń takich wielkości, jak pola figur, odległości do punktu na linii, itp.,</w:t>
            </w:r>
          </w:p>
          <w:p w:rsidR="00E85668" w:rsidRPr="005B21E3" w:rsidRDefault="00E85668"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obsługa geometrycznych i geograficznych typów danych powinna być dostępna z poziomu języka zapytań do systemu SBD,</w:t>
            </w:r>
          </w:p>
          <w:p w:rsidR="00E85668" w:rsidRPr="005B21E3" w:rsidRDefault="00E85668"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 xml:space="preserve">typy danych geograficznych powinny być konstruowane na podstawie obiektów wektorowych, określonych w formacie </w:t>
            </w:r>
            <w:proofErr w:type="spellStart"/>
            <w:r w:rsidRPr="005B21E3">
              <w:rPr>
                <w:rFonts w:ascii="Tahoma" w:eastAsiaTheme="majorEastAsia" w:hAnsi="Tahoma" w:cs="Tahoma"/>
                <w:bCs/>
              </w:rPr>
              <w:t>Well-Known</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Text</w:t>
            </w:r>
            <w:proofErr w:type="spellEnd"/>
            <w:r w:rsidRPr="005B21E3">
              <w:rPr>
                <w:rFonts w:ascii="Tahoma" w:eastAsiaTheme="majorEastAsia" w:hAnsi="Tahoma" w:cs="Tahoma"/>
                <w:bCs/>
              </w:rPr>
              <w:t xml:space="preserve"> (WKT) lub </w:t>
            </w:r>
            <w:proofErr w:type="spellStart"/>
            <w:r w:rsidRPr="005B21E3">
              <w:rPr>
                <w:rFonts w:ascii="Tahoma" w:eastAsiaTheme="majorEastAsia" w:hAnsi="Tahoma" w:cs="Tahoma"/>
                <w:bCs/>
              </w:rPr>
              <w:t>Well-Known</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Binary</w:t>
            </w:r>
            <w:proofErr w:type="spellEnd"/>
            <w:r w:rsidRPr="005B21E3">
              <w:rPr>
                <w:rFonts w:ascii="Tahoma" w:eastAsiaTheme="majorEastAsia" w:hAnsi="Tahoma" w:cs="Tahoma"/>
                <w:bCs/>
              </w:rPr>
              <w:t xml:space="preserve"> (WKB), (powinny być to m.in. takie typy obiektów jak: lokalizacja (punkt), seria punktów, seria punktów połączonych linią, zestaw wielokątów, itp.).</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5B21E3">
              <w:rPr>
                <w:rFonts w:ascii="Tahoma" w:eastAsiaTheme="majorEastAsia" w:hAnsi="Tahoma" w:cs="Tahoma"/>
                <w:bCs/>
              </w:rPr>
              <w:t>debuggowania</w:t>
            </w:r>
            <w:proofErr w:type="spellEnd"/>
            <w:r w:rsidRPr="005B21E3">
              <w:rPr>
                <w:rFonts w:ascii="Tahoma" w:eastAsiaTheme="majorEastAsia" w:hAnsi="Tahoma" w:cs="Tahoma"/>
                <w:bCs/>
              </w:rPr>
              <w:t>.</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Możliwość tworzenia rekursywnych zapytań do bazy danych - SBD musi udostępniać wbudowany mechanizm umożlwiający tworzenie rekursywnych zapytań do bazy danych bez potrzeby pisania specjalnych procedur i wywoływania ich w sposób rekurencyjny.</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Raportowanie zależności między obiektami - SBD musi udostępniać informacje o wzajemnych zależnościach między obiektami bazy danych.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 xml:space="preserve">mechanizm </w:t>
            </w:r>
            <w:proofErr w:type="spellStart"/>
            <w:r w:rsidRPr="005B21E3">
              <w:rPr>
                <w:rFonts w:ascii="Tahoma" w:eastAsiaTheme="majorEastAsia" w:hAnsi="Tahoma" w:cs="Tahoma"/>
                <w:bCs/>
              </w:rPr>
              <w:t>debuggowania</w:t>
            </w:r>
            <w:proofErr w:type="spellEnd"/>
            <w:r w:rsidRPr="005B21E3">
              <w:rPr>
                <w:rFonts w:ascii="Tahoma" w:eastAsiaTheme="majorEastAsia" w:hAnsi="Tahoma" w:cs="Tahoma"/>
                <w:bCs/>
              </w:rPr>
              <w:t xml:space="preserve"> tworzonego rozwiązania,</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stawiania „pułapek” (</w:t>
            </w:r>
            <w:proofErr w:type="spellStart"/>
            <w:r w:rsidRPr="005B21E3">
              <w:rPr>
                <w:rFonts w:ascii="Tahoma" w:eastAsiaTheme="majorEastAsia" w:hAnsi="Tahoma" w:cs="Tahoma"/>
                <w:bCs/>
              </w:rPr>
              <w:t>breakpoints</w:t>
            </w:r>
            <w:proofErr w:type="spellEnd"/>
            <w:r w:rsidRPr="005B21E3">
              <w:rPr>
                <w:rFonts w:ascii="Tahoma" w:eastAsiaTheme="majorEastAsia" w:hAnsi="Tahoma" w:cs="Tahoma"/>
                <w:bCs/>
              </w:rPr>
              <w:t>),</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logowania do pliku wykonywanych przez transformację operacji,</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możliwość wznowienia wykonania transformacji od punktu, w którym przerwano jej wykonanie (np. w wyniku pojawienia się błędu),</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 xml:space="preserve">możliwość cofania i ponawiania wprowadzonych przez użytkownika zmian podczas edycji transformacji (funkcja </w:t>
            </w:r>
            <w:proofErr w:type="spellStart"/>
            <w:r w:rsidRPr="005B21E3">
              <w:rPr>
                <w:rFonts w:ascii="Tahoma" w:eastAsiaTheme="majorEastAsia" w:hAnsi="Tahoma" w:cs="Tahoma"/>
                <w:bCs/>
              </w:rPr>
              <w:t>undo</w:t>
            </w:r>
            <w:proofErr w:type="spellEnd"/>
            <w:r w:rsidRPr="005B21E3">
              <w:rPr>
                <w:rFonts w:ascii="Tahoma" w:eastAsiaTheme="majorEastAsia" w:hAnsi="Tahoma" w:cs="Tahoma"/>
                <w:bCs/>
              </w:rPr>
              <w:t>/redo)</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analizy przetwarzanych danych (możliwość podglądu rekordów przetwarzanych w strumieniu danych oraz tworzenia statystyk, np. histogram wartości w przetwarzanych kolumnach tabeli),</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automatyzacji publikowania utworzonych transformacji na serwerze bazy danych (w szczególności tworzenia wersji instalacyjnej pozwalającej automatyzować proces publikacji na wielu serwerach),</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tworzenia parametrów zarówno na poziomie poszczególnych pakietów, jak też na poziomie całego projektu, parametry powinny umożliwiać uruchamianie pakietów podrzędnych i przesyłanie do nich wartości parametrów z pakietu nadrzędnego,</w:t>
            </w:r>
          </w:p>
          <w:p w:rsidR="00E85668" w:rsidRPr="005B21E3" w:rsidRDefault="00E85668"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 xml:space="preserve">mechanizm mapowania kolumn wykorzystujący ich nazwę i typ danych do automatycznego </w:t>
            </w:r>
            <w:proofErr w:type="spellStart"/>
            <w:r w:rsidRPr="005B21E3">
              <w:rPr>
                <w:rFonts w:ascii="Tahoma" w:eastAsiaTheme="majorEastAsia" w:hAnsi="Tahoma" w:cs="Tahoma"/>
                <w:bCs/>
              </w:rPr>
              <w:t>przemapowania</w:t>
            </w:r>
            <w:proofErr w:type="spellEnd"/>
            <w:r w:rsidRPr="005B21E3">
              <w:rPr>
                <w:rFonts w:ascii="Tahoma" w:eastAsiaTheme="majorEastAsia" w:hAnsi="Tahoma" w:cs="Tahoma"/>
                <w:bCs/>
              </w:rPr>
              <w:t xml:space="preserve"> kolumn w sytuacji podmiany źródła danych.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5B21E3">
              <w:rPr>
                <w:rFonts w:ascii="Tahoma" w:eastAsiaTheme="majorEastAsia" w:hAnsi="Tahoma" w:cs="Tahoma"/>
                <w:bCs/>
              </w:rPr>
              <w:t>drill</w:t>
            </w:r>
            <w:proofErr w:type="spellEnd"/>
            <w:r w:rsidRPr="005B21E3">
              <w:rPr>
                <w:rFonts w:ascii="Tahoma" w:eastAsiaTheme="majorEastAsia" w:hAnsi="Tahoma" w:cs="Tahoma"/>
                <w:bCs/>
              </w:rPr>
              <w:t xml:space="preserve"> to </w:t>
            </w:r>
            <w:proofErr w:type="spellStart"/>
            <w:r w:rsidRPr="005B21E3">
              <w:rPr>
                <w:rFonts w:ascii="Tahoma" w:eastAsiaTheme="majorEastAsia" w:hAnsi="Tahoma" w:cs="Tahoma"/>
                <w:bCs/>
              </w:rPr>
              <w:t>detail</w:t>
            </w:r>
            <w:proofErr w:type="spellEnd"/>
            <w:r w:rsidRPr="005B21E3">
              <w:rPr>
                <w:rFonts w:ascii="Tahoma" w:eastAsiaTheme="majorEastAsia" w:hAnsi="Tahoma" w:cs="Tahoma"/>
                <w:bCs/>
              </w:rPr>
              <w:t>).</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pozwalać na dodanie akcji przypisanych do elementów kostek wielowymiarowych (np. pozwalających na przejście użytkownika do raportów kontekstowych lub stron www powiązanych z przeglądanym obszarem kostki).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posiadać narzędzie do rejestracji i śledzenia zapytań wykonywanych do baz analitycznych.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obsługiwać wielojęzyczność (tworzenie obiektów wielowymiarowych w wielu językach – w zależności od ustawień na komputerze klienta).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 xml:space="preserve">Wbudowany system analityczny musi udostępniać rozwiązania Data </w:t>
            </w:r>
            <w:proofErr w:type="spellStart"/>
            <w:r w:rsidRPr="005B21E3">
              <w:rPr>
                <w:rFonts w:ascii="Tahoma" w:eastAsiaTheme="majorEastAsia" w:hAnsi="Tahoma" w:cs="Tahoma"/>
                <w:bCs/>
              </w:rPr>
              <w:t>Mining</w:t>
            </w:r>
            <w:proofErr w:type="spellEnd"/>
            <w:r w:rsidRPr="005B21E3">
              <w:rPr>
                <w:rFonts w:ascii="Tahoma" w:eastAsiaTheme="majorEastAsia" w:hAnsi="Tahoma" w:cs="Tahoma"/>
                <w:bCs/>
              </w:rPr>
              <w:t>, m.in.: algorytmy reguł związków (</w:t>
            </w:r>
            <w:proofErr w:type="spellStart"/>
            <w:r w:rsidRPr="005B21E3">
              <w:rPr>
                <w:rFonts w:ascii="Tahoma" w:eastAsiaTheme="majorEastAsia" w:hAnsi="Tahoma" w:cs="Tahoma"/>
                <w:bCs/>
              </w:rPr>
              <w:t>Association</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Rules</w:t>
            </w:r>
            <w:proofErr w:type="spellEnd"/>
            <w:r w:rsidRPr="005B21E3">
              <w:rPr>
                <w:rFonts w:ascii="Tahoma" w:eastAsiaTheme="majorEastAsia" w:hAnsi="Tahoma" w:cs="Tahoma"/>
                <w:bCs/>
              </w:rPr>
              <w:t>), szeregów czasowych (Time Series), drzew regresji (</w:t>
            </w:r>
            <w:proofErr w:type="spellStart"/>
            <w:r w:rsidRPr="005B21E3">
              <w:rPr>
                <w:rFonts w:ascii="Tahoma" w:eastAsiaTheme="majorEastAsia" w:hAnsi="Tahoma" w:cs="Tahoma"/>
                <w:bCs/>
              </w:rPr>
              <w:t>Regression</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Trees</w:t>
            </w:r>
            <w:proofErr w:type="spellEnd"/>
            <w:r w:rsidRPr="005B21E3">
              <w:rPr>
                <w:rFonts w:ascii="Tahoma" w:eastAsiaTheme="majorEastAsia" w:hAnsi="Tahoma" w:cs="Tahoma"/>
                <w:bCs/>
              </w:rPr>
              <w:t>), sieci neuronowych (</w:t>
            </w:r>
            <w:proofErr w:type="spellStart"/>
            <w:r w:rsidRPr="005B21E3">
              <w:rPr>
                <w:rFonts w:ascii="Tahoma" w:eastAsiaTheme="majorEastAsia" w:hAnsi="Tahoma" w:cs="Tahoma"/>
                <w:bCs/>
              </w:rPr>
              <w:t>Neural</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Nets</w:t>
            </w:r>
            <w:proofErr w:type="spellEnd"/>
            <w:r w:rsidRPr="005B21E3">
              <w:rPr>
                <w:rFonts w:ascii="Tahoma" w:eastAsiaTheme="majorEastAsia" w:hAnsi="Tahoma" w:cs="Tahoma"/>
                <w:bCs/>
              </w:rPr>
              <w:t xml:space="preserve"> oraz </w:t>
            </w:r>
            <w:proofErr w:type="spellStart"/>
            <w:r w:rsidRPr="005B21E3">
              <w:rPr>
                <w:rFonts w:ascii="Tahoma" w:eastAsiaTheme="majorEastAsia" w:hAnsi="Tahoma" w:cs="Tahoma"/>
                <w:bCs/>
              </w:rPr>
              <w:t>Naive</w:t>
            </w:r>
            <w:proofErr w:type="spellEnd"/>
            <w:r w:rsidRPr="005B21E3">
              <w:rPr>
                <w:rFonts w:ascii="Tahoma" w:eastAsiaTheme="majorEastAsia" w:hAnsi="Tahoma" w:cs="Tahoma"/>
                <w:bCs/>
              </w:rPr>
              <w:t xml:space="preserve"> Bayes). Dodatkowo system musi udostępniać narzędzia do wizualizacji danych z modelu Data </w:t>
            </w:r>
            <w:proofErr w:type="spellStart"/>
            <w:r w:rsidRPr="005B21E3">
              <w:rPr>
                <w:rFonts w:ascii="Tahoma" w:eastAsiaTheme="majorEastAsia" w:hAnsi="Tahoma" w:cs="Tahoma"/>
                <w:bCs/>
              </w:rPr>
              <w:t>Mining</w:t>
            </w:r>
            <w:proofErr w:type="spellEnd"/>
            <w:r w:rsidRPr="005B21E3">
              <w:rPr>
                <w:rFonts w:ascii="Tahoma" w:eastAsiaTheme="majorEastAsia" w:hAnsi="Tahoma" w:cs="Tahoma"/>
                <w:bCs/>
              </w:rPr>
              <w:t xml:space="preserve"> oraz język zapytań do odpytywania tych modeli.</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Tworzenie głównych wskaźników wydajności KPI (</w:t>
            </w:r>
            <w:proofErr w:type="spellStart"/>
            <w:r w:rsidRPr="005B21E3">
              <w:rPr>
                <w:rFonts w:ascii="Tahoma" w:eastAsiaTheme="majorEastAsia" w:hAnsi="Tahoma" w:cs="Tahoma"/>
                <w:bCs/>
              </w:rPr>
              <w:t>Key</w:t>
            </w:r>
            <w:proofErr w:type="spellEnd"/>
            <w:r w:rsidRPr="005B21E3">
              <w:rPr>
                <w:rFonts w:ascii="Tahoma" w:eastAsiaTheme="majorEastAsia" w:hAnsi="Tahoma" w:cs="Tahoma"/>
                <w:bCs/>
              </w:rPr>
              <w:t xml:space="preserve"> Performance </w:t>
            </w:r>
            <w:proofErr w:type="spellStart"/>
            <w:r w:rsidRPr="005B21E3">
              <w:rPr>
                <w:rFonts w:ascii="Tahoma" w:eastAsiaTheme="majorEastAsia" w:hAnsi="Tahoma" w:cs="Tahoma"/>
                <w:bCs/>
              </w:rPr>
              <w:t>Indicators</w:t>
            </w:r>
            <w:proofErr w:type="spellEnd"/>
            <w:r w:rsidRPr="005B21E3">
              <w:rPr>
                <w:rFonts w:ascii="Tahoma" w:eastAsiaTheme="majorEastAsia" w:hAnsi="Tahoma" w:cs="Tahoma"/>
                <w:bCs/>
              </w:rPr>
              <w:t xml:space="preserve"> - kluczowe czynniki sukcesu) - SBD musi udostępniać użytkownikom możliwość tworzenia wskaźników KPI (</w:t>
            </w:r>
            <w:proofErr w:type="spellStart"/>
            <w:r w:rsidRPr="005B21E3">
              <w:rPr>
                <w:rFonts w:ascii="Tahoma" w:eastAsiaTheme="majorEastAsia" w:hAnsi="Tahoma" w:cs="Tahoma"/>
                <w:bCs/>
              </w:rPr>
              <w:t>Key</w:t>
            </w:r>
            <w:proofErr w:type="spellEnd"/>
            <w:r w:rsidRPr="005B21E3">
              <w:rPr>
                <w:rFonts w:ascii="Tahoma" w:eastAsiaTheme="majorEastAsia" w:hAnsi="Tahoma" w:cs="Tahoma"/>
                <w:bCs/>
              </w:rPr>
              <w:t xml:space="preserve"> Performance </w:t>
            </w:r>
            <w:proofErr w:type="spellStart"/>
            <w:r w:rsidRPr="005B21E3">
              <w:rPr>
                <w:rFonts w:ascii="Tahoma" w:eastAsiaTheme="majorEastAsia" w:hAnsi="Tahoma" w:cs="Tahoma"/>
                <w:bCs/>
              </w:rPr>
              <w:t>Indicators</w:t>
            </w:r>
            <w:proofErr w:type="spellEnd"/>
            <w:r w:rsidRPr="005B21E3">
              <w:rPr>
                <w:rFonts w:ascii="Tahoma" w:eastAsiaTheme="majorEastAsia" w:hAnsi="Tahoma" w:cs="Tahoma"/>
                <w:bCs/>
              </w:rPr>
              <w:t>) na podstawie danych zgromadzonych w strukturach wielowymiarowych. W szczególności powinien pozwalać na zdefiniowanie takich elementów, jak: wartość aktualna, cel, trend, symbol graficzny wskaźnika w zależności od stosunku wartości aktualnej do celu.</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raporty parametryzowane,</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cache raportów (generacja raportów bez dostępu do źródła danych),</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cache raportów parametryzowanych (generacja raportów bez dostępu do źródła danych, z różnymi wartościami parametrów),</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współdzielenie predefiniowanych zapytań do źródeł danych,</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 xml:space="preserve">wizualizację danych analitycznych na mapach geograficznych (w tym import map w formacie ESRI </w:t>
            </w:r>
            <w:proofErr w:type="spellStart"/>
            <w:r w:rsidRPr="005B21E3">
              <w:rPr>
                <w:rFonts w:ascii="Tahoma" w:eastAsiaTheme="majorEastAsia" w:hAnsi="Tahoma" w:cs="Tahoma"/>
                <w:bCs/>
              </w:rPr>
              <w:t>Shape</w:t>
            </w:r>
            <w:proofErr w:type="spellEnd"/>
            <w:r w:rsidRPr="005B21E3">
              <w:rPr>
                <w:rFonts w:ascii="Tahoma" w:eastAsiaTheme="majorEastAsia" w:hAnsi="Tahoma" w:cs="Tahoma"/>
                <w:bCs/>
              </w:rPr>
              <w:t xml:space="preserve"> File),</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opublikowania elementu raportu (wykresu, tabeli) we współdzielonej bibliotece, z której mogą korzystać inni użytkownicy tworzący nowy raport,</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wizualizacji wskaźników KPI,</w:t>
            </w:r>
          </w:p>
          <w:p w:rsidR="00E85668" w:rsidRPr="005B21E3" w:rsidRDefault="00E85668"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 xml:space="preserve">możliwość wizualizacji danych w postaci obiektów </w:t>
            </w:r>
            <w:proofErr w:type="spellStart"/>
            <w:r w:rsidRPr="005B21E3">
              <w:rPr>
                <w:rFonts w:ascii="Tahoma" w:eastAsiaTheme="majorEastAsia" w:hAnsi="Tahoma" w:cs="Tahoma"/>
                <w:bCs/>
              </w:rPr>
              <w:t>sparkline</w:t>
            </w:r>
            <w:proofErr w:type="spellEnd"/>
            <w:r w:rsidRPr="005B21E3">
              <w:rPr>
                <w:rFonts w:ascii="Tahoma" w:eastAsiaTheme="majorEastAsia" w:hAnsi="Tahoma" w:cs="Tahoma"/>
                <w:bCs/>
              </w:rPr>
              <w:t>.</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Środowisko raportowania powinno być osadzone i administrowane z wykorzystaniem mechanizmu Web Serwisów (Web Services).</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 xml:space="preserve">Wymagane jest generowanie raportów w formatach: XML, PDF, Microsoft Excel, Microsoft Word, HTML, TIFF. Dodatkowo raporty powinny być eksportowane w formacie Atom data </w:t>
            </w:r>
            <w:proofErr w:type="spellStart"/>
            <w:r w:rsidRPr="005B21E3">
              <w:rPr>
                <w:rFonts w:ascii="Tahoma" w:eastAsiaTheme="majorEastAsia" w:hAnsi="Tahoma" w:cs="Tahoma"/>
                <w:bCs/>
              </w:rPr>
              <w:t>feeds</w:t>
            </w:r>
            <w:proofErr w:type="spellEnd"/>
            <w:r w:rsidRPr="005B21E3">
              <w:rPr>
                <w:rFonts w:ascii="Tahoma" w:eastAsiaTheme="majorEastAsia" w:hAnsi="Tahoma" w:cs="Tahoma"/>
                <w:bCs/>
              </w:rPr>
              <w:t>, które można będzie wykorzystać jako źródło danych w innych aplikacjach.</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SBD musi umożliwiać wysyłkę raportów drogą mailową w wybranym formacie (subskrypcja).</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Wbudowany system raportowania musi posiadać rozszerzalną architekturę oraz otwarte interfejsy do osadzania raportów oraz do integrowania rozwiązania z różnorodnymi środowiskami IT.</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 xml:space="preserve">W celu zwiększenia wydajności przetwarzania system bazy danych musi posiadać wbudowaną funkcjonalność pozwalającą na rozszerzenie </w:t>
            </w:r>
            <w:proofErr w:type="spellStart"/>
            <w:r w:rsidRPr="005B21E3">
              <w:rPr>
                <w:rFonts w:ascii="Tahoma" w:eastAsiaTheme="majorEastAsia" w:hAnsi="Tahoma" w:cs="Tahoma"/>
                <w:bCs/>
              </w:rPr>
              <w:t>cache’u</w:t>
            </w:r>
            <w:proofErr w:type="spellEnd"/>
            <w:r w:rsidRPr="005B21E3">
              <w:rPr>
                <w:rFonts w:ascii="Tahoma" w:eastAsiaTheme="majorEastAsia" w:hAnsi="Tahoma" w:cs="Tahoma"/>
                <w:bCs/>
              </w:rPr>
              <w:t xml:space="preserve"> przetwarzania w pamięci RAM o dodatkową przestrzeń na dysku SSD.</w:t>
            </w:r>
          </w:p>
        </w:tc>
      </w:tr>
      <w:tr w:rsidR="00E85668" w:rsidRPr="005B21E3" w:rsidTr="008F66B6">
        <w:tc>
          <w:tcPr>
            <w:tcW w:w="525" w:type="dxa"/>
            <w:shd w:val="clear" w:color="auto" w:fill="BFBFBF" w:themeFill="background1" w:themeFillShade="BF"/>
            <w:tcMar>
              <w:top w:w="55" w:type="dxa"/>
              <w:left w:w="55" w:type="dxa"/>
              <w:bottom w:w="55" w:type="dxa"/>
              <w:right w:w="55" w:type="dxa"/>
            </w:tcMar>
          </w:tcPr>
          <w:p w:rsidR="00E85668" w:rsidRPr="005B21E3" w:rsidRDefault="00E85668" w:rsidP="0044167A">
            <w:pPr>
              <w:pStyle w:val="Akapitzlist"/>
              <w:numPr>
                <w:ilvl w:val="0"/>
                <w:numId w:val="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E85668" w:rsidRPr="005B21E3" w:rsidRDefault="00E85668" w:rsidP="008F66B6">
            <w:pPr>
              <w:ind w:left="11"/>
              <w:jc w:val="both"/>
              <w:rPr>
                <w:rFonts w:ascii="Tahoma" w:eastAsiaTheme="majorEastAsia" w:hAnsi="Tahoma" w:cs="Tahoma"/>
                <w:bCs/>
              </w:rPr>
            </w:pPr>
            <w:r w:rsidRPr="005B21E3">
              <w:rPr>
                <w:rFonts w:ascii="Tahoma" w:eastAsiaTheme="majorEastAsia" w:hAnsi="Tahoma" w:cs="Tahoma"/>
                <w:bCs/>
              </w:rPr>
              <w:t>System bazy danych, w celu zwiększenia wydajności, musi zapewniać możliwość asynchronicznego zatwierdzania transakcji bazodanowych (</w:t>
            </w:r>
            <w:proofErr w:type="spellStart"/>
            <w:r w:rsidRPr="005B21E3">
              <w:rPr>
                <w:rFonts w:ascii="Tahoma" w:eastAsiaTheme="majorEastAsia" w:hAnsi="Tahoma" w:cs="Tahoma"/>
                <w:bCs/>
              </w:rPr>
              <w:t>lazy</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commit</w:t>
            </w:r>
            <w:proofErr w:type="spellEnd"/>
            <w:r w:rsidRPr="005B21E3">
              <w:rPr>
                <w:rFonts w:ascii="Tahoma" w:eastAsiaTheme="majorEastAsia" w:hAnsi="Tahoma" w:cs="Tahoma"/>
                <w:bCs/>
              </w:rPr>
              <w:t>). Włączenie asynchronicznego zatwierdzania transakcji powinno być dostępne zarówno na poziomie wybranej bazy danych, jak również z poziomu kodu pojedynczych procedur/zapytań.</w:t>
            </w:r>
          </w:p>
        </w:tc>
      </w:tr>
    </w:tbl>
    <w:p w:rsidR="00E85668" w:rsidRPr="005B21E3" w:rsidRDefault="00E85668" w:rsidP="00E85668">
      <w:pPr>
        <w:pStyle w:val="Nagwek3"/>
        <w:numPr>
          <w:ilvl w:val="0"/>
          <w:numId w:val="0"/>
        </w:numPr>
        <w:ind w:left="720" w:hanging="720"/>
        <w:rPr>
          <w:rFonts w:ascii="Tahoma" w:eastAsiaTheme="majorEastAsia" w:hAnsi="Tahoma" w:cs="Tahoma"/>
        </w:rPr>
      </w:pPr>
    </w:p>
    <w:p w:rsidR="00FA4060" w:rsidRPr="005B21E3" w:rsidRDefault="00FA4060" w:rsidP="00FA4060">
      <w:pPr>
        <w:pStyle w:val="Nagwek3"/>
        <w:rPr>
          <w:rFonts w:ascii="Tahoma" w:eastAsiaTheme="majorEastAsia" w:hAnsi="Tahoma" w:cs="Tahoma"/>
        </w:rPr>
      </w:pPr>
      <w:r w:rsidRPr="005B21E3">
        <w:rPr>
          <w:rFonts w:ascii="Tahoma" w:eastAsiaTheme="majorEastAsia" w:hAnsi="Tahoma" w:cs="Tahoma"/>
        </w:rPr>
        <w:t>Licencja oprogramowania serwera relacyjnej bazy danych Microsoft SQL Server 2016 Standard lub produkt równoważny:</w:t>
      </w:r>
    </w:p>
    <w:p w:rsidR="00FA4060" w:rsidRPr="005B21E3" w:rsidRDefault="0084193D" w:rsidP="00FA4060">
      <w:pPr>
        <w:ind w:left="11"/>
        <w:jc w:val="both"/>
        <w:rPr>
          <w:rFonts w:ascii="Tahoma" w:eastAsiaTheme="majorEastAsia" w:hAnsi="Tahoma" w:cs="Tahoma"/>
          <w:bCs/>
        </w:rPr>
      </w:pPr>
      <w:r w:rsidRPr="005B21E3">
        <w:rPr>
          <w:rFonts w:ascii="Tahoma" w:eastAsiaTheme="majorEastAsia" w:hAnsi="Tahoma" w:cs="Tahoma"/>
          <w:b/>
          <w:bCs/>
        </w:rPr>
        <w:t>1</w:t>
      </w:r>
      <w:r w:rsidR="00FA4060" w:rsidRPr="005B21E3">
        <w:rPr>
          <w:rFonts w:ascii="Tahoma" w:eastAsiaTheme="majorEastAsia" w:hAnsi="Tahoma" w:cs="Tahoma"/>
          <w:b/>
          <w:bCs/>
        </w:rPr>
        <w:t xml:space="preserve"> licencj</w:t>
      </w:r>
      <w:r w:rsidRPr="005B21E3">
        <w:rPr>
          <w:rFonts w:ascii="Tahoma" w:eastAsiaTheme="majorEastAsia" w:hAnsi="Tahoma" w:cs="Tahoma"/>
          <w:b/>
          <w:bCs/>
        </w:rPr>
        <w:t>a</w:t>
      </w:r>
      <w:r w:rsidR="00FA4060" w:rsidRPr="005B21E3">
        <w:rPr>
          <w:rFonts w:ascii="Tahoma" w:eastAsiaTheme="majorEastAsia" w:hAnsi="Tahoma" w:cs="Tahoma"/>
          <w:bCs/>
        </w:rPr>
        <w:t xml:space="preserve"> oprogramowania dla instytucji samorządowych</w:t>
      </w:r>
      <w:r w:rsidRPr="005B21E3">
        <w:rPr>
          <w:rFonts w:ascii="Tahoma" w:eastAsiaTheme="majorEastAsia" w:hAnsi="Tahoma" w:cs="Tahoma"/>
          <w:bCs/>
        </w:rPr>
        <w:t xml:space="preserve">, </w:t>
      </w:r>
      <w:r w:rsidR="00FA4060" w:rsidRPr="005B21E3">
        <w:rPr>
          <w:rFonts w:ascii="Tahoma" w:eastAsiaTheme="majorEastAsia" w:hAnsi="Tahoma" w:cs="Tahoma"/>
          <w:bCs/>
        </w:rPr>
        <w:t>na nośniku CD</w:t>
      </w:r>
      <w:r w:rsidR="00833F72" w:rsidRPr="005B21E3">
        <w:rPr>
          <w:rFonts w:ascii="Tahoma" w:eastAsiaTheme="majorEastAsia" w:hAnsi="Tahoma" w:cs="Tahoma"/>
          <w:bCs/>
        </w:rPr>
        <w:t>/</w:t>
      </w:r>
      <w:r w:rsidR="00FA4060" w:rsidRPr="005B21E3">
        <w:rPr>
          <w:rFonts w:ascii="Tahoma" w:eastAsiaTheme="majorEastAsia" w:hAnsi="Tahoma" w:cs="Tahoma"/>
          <w:bCs/>
        </w:rPr>
        <w:t>DVD lub udostępnienie oprogramowania drogą elektroniczną poprzez dostęp do strony internetowej zawierającej dane oprogramowanie. Licencja – bez ograniczeń czasowych. Warunki licencjonowania muszą zezwalać zmianę wersji s</w:t>
      </w:r>
      <w:r w:rsidR="00E85668" w:rsidRPr="005B21E3">
        <w:rPr>
          <w:rFonts w:ascii="Tahoma" w:eastAsiaTheme="majorEastAsia" w:hAnsi="Tahoma" w:cs="Tahoma"/>
          <w:bCs/>
        </w:rPr>
        <w:t>erwera relacyjnej bazy danych (SBD)</w:t>
      </w:r>
      <w:r w:rsidR="00FA4060" w:rsidRPr="005B21E3">
        <w:rPr>
          <w:rFonts w:ascii="Tahoma" w:eastAsiaTheme="majorEastAsia" w:hAnsi="Tahoma" w:cs="Tahoma"/>
          <w:bCs/>
        </w:rPr>
        <w:t xml:space="preserve"> na niższą z zachowaniem wsparcia technicznego oraz na przeniesienie licencji </w:t>
      </w:r>
      <w:r w:rsidR="00E85668" w:rsidRPr="005B21E3">
        <w:rPr>
          <w:rFonts w:ascii="Tahoma" w:eastAsiaTheme="majorEastAsia" w:hAnsi="Tahoma" w:cs="Tahoma"/>
          <w:bCs/>
        </w:rPr>
        <w:t xml:space="preserve">SBD </w:t>
      </w:r>
      <w:r w:rsidR="00FA4060" w:rsidRPr="005B21E3">
        <w:rPr>
          <w:rFonts w:ascii="Tahoma" w:eastAsiaTheme="majorEastAsia" w:hAnsi="Tahoma" w:cs="Tahoma"/>
          <w:bCs/>
        </w:rPr>
        <w:t>na inny fizyczny serwer.</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FA4060" w:rsidRPr="005B21E3" w:rsidTr="00FA4060">
        <w:trPr>
          <w:tblHeader/>
        </w:trPr>
        <w:tc>
          <w:tcPr>
            <w:tcW w:w="525" w:type="dxa"/>
            <w:shd w:val="clear" w:color="auto" w:fill="BFBFBF" w:themeFill="background1" w:themeFillShade="BF"/>
            <w:tcMar>
              <w:top w:w="55" w:type="dxa"/>
              <w:left w:w="55" w:type="dxa"/>
              <w:bottom w:w="55" w:type="dxa"/>
              <w:right w:w="55" w:type="dxa"/>
            </w:tcMar>
            <w:vAlign w:val="center"/>
            <w:hideMark/>
          </w:tcPr>
          <w:p w:rsidR="00FA4060" w:rsidRPr="005B21E3" w:rsidRDefault="00FA4060" w:rsidP="008F66B6">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shd w:val="clear" w:color="auto" w:fill="BFBFBF" w:themeFill="background1" w:themeFillShade="BF"/>
            <w:tcMar>
              <w:top w:w="55" w:type="dxa"/>
              <w:left w:w="55" w:type="dxa"/>
              <w:bottom w:w="55" w:type="dxa"/>
              <w:right w:w="55" w:type="dxa"/>
            </w:tcMar>
            <w:vAlign w:val="center"/>
            <w:hideMark/>
          </w:tcPr>
          <w:p w:rsidR="00FA4060" w:rsidRPr="005B21E3" w:rsidRDefault="00FA4060" w:rsidP="008F66B6">
            <w:pPr>
              <w:jc w:val="both"/>
              <w:rPr>
                <w:rFonts w:ascii="Tahoma" w:eastAsiaTheme="majorEastAsia" w:hAnsi="Tahoma" w:cs="Tahoma"/>
                <w:bCs/>
              </w:rPr>
            </w:pPr>
            <w:r w:rsidRPr="005B21E3">
              <w:rPr>
                <w:rFonts w:ascii="Tahoma" w:hAnsi="Tahoma" w:cs="Tahoma"/>
                <w:b/>
                <w:bCs/>
              </w:rPr>
              <w:t>Warunek równoważności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Dedykowana sesja administracyjna - SBD musi pozwalać na zdalne połączenie sesji administratora systemu bazy danych w sposób niezależny od normalnych sesji klientów.</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automatycznej aktualizacji systemu - SBD musi umożliwiać automatyczne ściąganie i instalację wszelkich poprawek producenta oprogramowania (redukowania zagrożeń powodowanych przez znane luki w zabezpieczeniach oprogramowania).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SBD musi umożliwiać tworzenie klastrów niezawodnościowych.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FA4060">
            <w:pPr>
              <w:ind w:left="11"/>
              <w:jc w:val="both"/>
              <w:rPr>
                <w:rFonts w:ascii="Tahoma" w:eastAsiaTheme="majorEastAsia" w:hAnsi="Tahoma" w:cs="Tahoma"/>
                <w:bCs/>
              </w:rPr>
            </w:pPr>
            <w:r w:rsidRPr="005B21E3">
              <w:rPr>
                <w:rFonts w:ascii="Tahoma" w:eastAsiaTheme="majorEastAsia" w:hAnsi="Tahoma" w:cs="Tahoma"/>
                <w:bCs/>
              </w:rPr>
              <w:t>Wysoka dostępność - SBD musi posiadać mechanizm pozwalający na duplikację bazy danych między dwiema lokalizacjami (podstawowa i zapasowa) przy zachowaniu następujących cech:</w:t>
            </w:r>
          </w:p>
          <w:p w:rsidR="00FA4060" w:rsidRPr="005B21E3" w:rsidRDefault="00FA4060"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bez specjalnego sprzętu (rozwiązanie tylko programowe oparte o sam SBD),</w:t>
            </w:r>
          </w:p>
          <w:p w:rsidR="00FA4060" w:rsidRPr="005B21E3" w:rsidRDefault="00FA4060"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niezawodne powielanie danych w czasie rzeczywistym (potwierdzone transakcje bazodanowe),</w:t>
            </w:r>
          </w:p>
          <w:p w:rsidR="00FA4060" w:rsidRPr="005B21E3" w:rsidRDefault="00FA4060" w:rsidP="0044167A">
            <w:pPr>
              <w:pStyle w:val="Akapitzlist"/>
              <w:numPr>
                <w:ilvl w:val="0"/>
                <w:numId w:val="9"/>
              </w:numPr>
              <w:jc w:val="both"/>
              <w:rPr>
                <w:rFonts w:ascii="Tahoma" w:eastAsiaTheme="majorEastAsia" w:hAnsi="Tahoma" w:cs="Tahoma"/>
                <w:bCs/>
              </w:rPr>
            </w:pPr>
            <w:r w:rsidRPr="005B21E3">
              <w:rPr>
                <w:rFonts w:ascii="Tahoma" w:eastAsiaTheme="majorEastAsia" w:hAnsi="Tahoma" w:cs="Tahoma"/>
                <w:bCs/>
              </w:rPr>
              <w:t>klienci bazy danych automatycznie korzystają z bazy zapasowej w przypadku awarii bazy podstawowej bez zmian w aplikacjach.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Kompresja kopii zapasowych - SBD musi pozwalać na kompresję kopii zapasowej danych (backup) w trakcie jej tworzenia. Powinna to być cecha SBD niezależna od funkcji systemu operacyjnego ani od sprzętowego rozwiązania archiwizacji danych.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5B21E3">
              <w:rPr>
                <w:rFonts w:ascii="Tahoma" w:eastAsiaTheme="majorEastAsia" w:hAnsi="Tahoma" w:cs="Tahoma"/>
                <w:bCs/>
              </w:rPr>
              <w:t>Triple</w:t>
            </w:r>
            <w:proofErr w:type="spellEnd"/>
            <w:r w:rsidRPr="005B21E3">
              <w:rPr>
                <w:rFonts w:ascii="Tahoma" w:eastAsiaTheme="majorEastAsia" w:hAnsi="Tahoma" w:cs="Tahoma"/>
                <w:bCs/>
              </w:rPr>
              <w:t xml:space="preserve"> DES. Mechanizm ten nie może wymagać konieczności uprzedniego szyfrowania bazy danych.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8F66B6">
            <w:pPr>
              <w:ind w:left="11"/>
              <w:jc w:val="both"/>
              <w:rPr>
                <w:rFonts w:ascii="Tahoma" w:eastAsiaTheme="majorEastAsia" w:hAnsi="Tahoma" w:cs="Tahoma"/>
                <w:bCs/>
              </w:rPr>
            </w:pPr>
            <w:r w:rsidRPr="005B21E3">
              <w:rPr>
                <w:rFonts w:ascii="Tahoma" w:eastAsiaTheme="majorEastAsia" w:hAnsi="Tahoma" w:cs="Tahoma"/>
                <w:bCs/>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FA4060" w:rsidP="00FA4060">
            <w:pPr>
              <w:ind w:left="11"/>
              <w:jc w:val="both"/>
              <w:rPr>
                <w:rFonts w:ascii="Tahoma" w:eastAsiaTheme="majorEastAsia" w:hAnsi="Tahoma" w:cs="Tahoma"/>
                <w:bCs/>
              </w:rPr>
            </w:pPr>
            <w:r w:rsidRPr="005B21E3">
              <w:rPr>
                <w:rFonts w:ascii="Tahoma" w:eastAsiaTheme="majorEastAsia" w:hAnsi="Tahoma" w:cs="Tahoma"/>
                <w:bCs/>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FA4060" w:rsidRPr="005B21E3" w:rsidRDefault="00FA4060"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odczyt/zapis danych na dysku dla zapytań wykonywanych do baz danych (w celu wychwytywania zapytań znacząco obciążających system),</w:t>
            </w:r>
          </w:p>
          <w:p w:rsidR="00FA4060" w:rsidRPr="005B21E3" w:rsidRDefault="00FA4060"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wykonanie zapytania lub procedury trwające dłużej niż zdefiniowany czas (wychwytywanie długo trwających zapytań lub procedur),</w:t>
            </w:r>
          </w:p>
          <w:p w:rsidR="00FA4060" w:rsidRPr="005B21E3" w:rsidRDefault="00FA4060" w:rsidP="0044167A">
            <w:pPr>
              <w:pStyle w:val="Akapitzlist"/>
              <w:numPr>
                <w:ilvl w:val="0"/>
                <w:numId w:val="10"/>
              </w:numPr>
              <w:jc w:val="both"/>
              <w:rPr>
                <w:rFonts w:ascii="Tahoma" w:eastAsiaTheme="majorEastAsia" w:hAnsi="Tahoma" w:cs="Tahoma"/>
                <w:bCs/>
              </w:rPr>
            </w:pPr>
            <w:r w:rsidRPr="005B21E3">
              <w:rPr>
                <w:rFonts w:ascii="Tahoma" w:eastAsiaTheme="majorEastAsia" w:hAnsi="Tahoma" w:cs="Tahoma"/>
                <w:bCs/>
              </w:rPr>
              <w:t>para zdarzeń zablokowanie/zwolnienie blokady na obiekcie bazy (w celu wychwytywania długotrwałych blokad obiektów bazy).</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50007D" w:rsidP="008F66B6">
            <w:pPr>
              <w:ind w:left="11"/>
              <w:jc w:val="both"/>
              <w:rPr>
                <w:rFonts w:ascii="Tahoma" w:eastAsiaTheme="majorEastAsia" w:hAnsi="Tahoma" w:cs="Tahoma"/>
                <w:bCs/>
              </w:rPr>
            </w:pPr>
            <w:r w:rsidRPr="005B21E3">
              <w:rPr>
                <w:rFonts w:ascii="Tahoma" w:eastAsiaTheme="majorEastAsia" w:hAnsi="Tahoma" w:cs="Tahoma"/>
                <w:bCs/>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50007D" w:rsidP="008F66B6">
            <w:pPr>
              <w:ind w:left="11"/>
              <w:jc w:val="both"/>
              <w:rPr>
                <w:rFonts w:ascii="Tahoma" w:eastAsiaTheme="majorEastAsia" w:hAnsi="Tahoma" w:cs="Tahoma"/>
                <w:bCs/>
              </w:rPr>
            </w:pPr>
            <w:r w:rsidRPr="005B21E3">
              <w:rPr>
                <w:rFonts w:ascii="Tahoma" w:eastAsiaTheme="majorEastAsia" w:hAnsi="Tahoma" w:cs="Tahoma"/>
                <w:bCs/>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50007D" w:rsidRPr="005B21E3" w:rsidRDefault="0050007D" w:rsidP="0050007D">
            <w:pPr>
              <w:ind w:left="11"/>
              <w:jc w:val="both"/>
              <w:rPr>
                <w:rFonts w:ascii="Tahoma" w:eastAsiaTheme="majorEastAsia" w:hAnsi="Tahoma" w:cs="Tahoma"/>
                <w:bCs/>
              </w:rPr>
            </w:pPr>
            <w:r w:rsidRPr="005B21E3">
              <w:rPr>
                <w:rFonts w:ascii="Tahoma" w:eastAsiaTheme="majorEastAsia" w:hAnsi="Tahoma" w:cs="Tahoma"/>
                <w:bCs/>
              </w:rPr>
              <w:t>Wsparcie dla technologii XML - SBD musi udostępniać mechanizmy składowania i obróbki danych w postaci struktur XML. W szczególności musi:</w:t>
            </w:r>
          </w:p>
          <w:p w:rsidR="0050007D"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typ danych do przechowywania kompletnych dokumentów XML w jednym polu tabeli,</w:t>
            </w:r>
          </w:p>
          <w:p w:rsidR="0050007D"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mechanizm walidacji struktur XML-owych względem jednego lub wielu szablonów XSD,</w:t>
            </w:r>
          </w:p>
          <w:p w:rsidR="0050007D"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język zapytań do struktur XML,</w:t>
            </w:r>
          </w:p>
          <w:p w:rsidR="0050007D"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język modyfikacji danych (DML) w strukturach XML (dodawanie, usuwanie i modyfikację zawartości struktur XML),</w:t>
            </w:r>
          </w:p>
          <w:p w:rsidR="00FA4060" w:rsidRPr="005B21E3" w:rsidRDefault="0050007D" w:rsidP="0044167A">
            <w:pPr>
              <w:pStyle w:val="Akapitzlist"/>
              <w:numPr>
                <w:ilvl w:val="0"/>
                <w:numId w:val="11"/>
              </w:numPr>
              <w:jc w:val="both"/>
              <w:rPr>
                <w:rFonts w:ascii="Tahoma" w:eastAsiaTheme="majorEastAsia" w:hAnsi="Tahoma" w:cs="Tahoma"/>
                <w:bCs/>
              </w:rPr>
            </w:pPr>
            <w:r w:rsidRPr="005B21E3">
              <w:rPr>
                <w:rFonts w:ascii="Tahoma" w:eastAsiaTheme="majorEastAsia" w:hAnsi="Tahoma" w:cs="Tahoma"/>
                <w:bCs/>
              </w:rPr>
              <w:t>udostępniać możliwość indeksowania struktur XML-owych w celu optymalizacji wykonywania zapytań.</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84193D" w:rsidRPr="005B21E3" w:rsidRDefault="0084193D" w:rsidP="0084193D">
            <w:pPr>
              <w:ind w:left="11"/>
              <w:jc w:val="both"/>
              <w:rPr>
                <w:rFonts w:ascii="Tahoma" w:eastAsiaTheme="majorEastAsia" w:hAnsi="Tahoma" w:cs="Tahoma"/>
                <w:bCs/>
              </w:rPr>
            </w:pPr>
            <w:r w:rsidRPr="005B21E3">
              <w:rPr>
                <w:rFonts w:ascii="Tahoma" w:eastAsiaTheme="majorEastAsia" w:hAnsi="Tahoma" w:cs="Tahoma"/>
                <w:bCs/>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84193D" w:rsidRPr="005B21E3" w:rsidRDefault="0084193D"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zapewniać możliwość wykorzystywania szerokości i długości geograficznej do opisu lokalizacji obiektów,</w:t>
            </w:r>
          </w:p>
          <w:p w:rsidR="0084193D" w:rsidRPr="005B21E3" w:rsidRDefault="0084193D"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oferować wiele metod, które pozwalają na łatwe operowanie kształtami czy bryłami, testowanie ich wzajemnego ułożenia w układach współrzędnych oraz dokonywanie obliczeń takich wielkości, jak pola figur, odległości do punktu na linii, itp.,</w:t>
            </w:r>
          </w:p>
          <w:p w:rsidR="0084193D" w:rsidRPr="005B21E3" w:rsidRDefault="0084193D"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obsługa geometrycznych i geograficznych typów danych powinna być dostępna z poziomu języka zapytań do systemu SBD,</w:t>
            </w:r>
          </w:p>
          <w:p w:rsidR="00FA4060" w:rsidRPr="005B21E3" w:rsidRDefault="0084193D" w:rsidP="0044167A">
            <w:pPr>
              <w:pStyle w:val="Akapitzlist"/>
              <w:numPr>
                <w:ilvl w:val="0"/>
                <w:numId w:val="12"/>
              </w:numPr>
              <w:jc w:val="both"/>
              <w:rPr>
                <w:rFonts w:ascii="Tahoma" w:eastAsiaTheme="majorEastAsia" w:hAnsi="Tahoma" w:cs="Tahoma"/>
                <w:bCs/>
              </w:rPr>
            </w:pPr>
            <w:r w:rsidRPr="005B21E3">
              <w:rPr>
                <w:rFonts w:ascii="Tahoma" w:eastAsiaTheme="majorEastAsia" w:hAnsi="Tahoma" w:cs="Tahoma"/>
                <w:bCs/>
              </w:rPr>
              <w:t xml:space="preserve">typy danych geograficznych powinny być konstruowane na podstawie obiektów wektorowych, określonych w formacie </w:t>
            </w:r>
            <w:proofErr w:type="spellStart"/>
            <w:r w:rsidRPr="005B21E3">
              <w:rPr>
                <w:rFonts w:ascii="Tahoma" w:eastAsiaTheme="majorEastAsia" w:hAnsi="Tahoma" w:cs="Tahoma"/>
                <w:bCs/>
              </w:rPr>
              <w:t>Well-Known</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Text</w:t>
            </w:r>
            <w:proofErr w:type="spellEnd"/>
            <w:r w:rsidRPr="005B21E3">
              <w:rPr>
                <w:rFonts w:ascii="Tahoma" w:eastAsiaTheme="majorEastAsia" w:hAnsi="Tahoma" w:cs="Tahoma"/>
                <w:bCs/>
              </w:rPr>
              <w:t xml:space="preserve"> (WKT) lub </w:t>
            </w:r>
            <w:proofErr w:type="spellStart"/>
            <w:r w:rsidRPr="005B21E3">
              <w:rPr>
                <w:rFonts w:ascii="Tahoma" w:eastAsiaTheme="majorEastAsia" w:hAnsi="Tahoma" w:cs="Tahoma"/>
                <w:bCs/>
              </w:rPr>
              <w:t>Well-Known</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Binary</w:t>
            </w:r>
            <w:proofErr w:type="spellEnd"/>
            <w:r w:rsidRPr="005B21E3">
              <w:rPr>
                <w:rFonts w:ascii="Tahoma" w:eastAsiaTheme="majorEastAsia" w:hAnsi="Tahoma" w:cs="Tahoma"/>
                <w:bCs/>
              </w:rPr>
              <w:t xml:space="preserve"> (WKB), (powinny być to m.in. takie typy obiektów jak: lokalizacja (punkt), seria punktów, seria punktów połączonych linią, zestaw wielokątów, itp.).</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5B21E3">
              <w:rPr>
                <w:rFonts w:ascii="Tahoma" w:eastAsiaTheme="majorEastAsia" w:hAnsi="Tahoma" w:cs="Tahoma"/>
                <w:bCs/>
              </w:rPr>
              <w:t>debuggowania</w:t>
            </w:r>
            <w:proofErr w:type="spellEnd"/>
            <w:r w:rsidRPr="005B21E3">
              <w:rPr>
                <w:rFonts w:ascii="Tahoma" w:eastAsiaTheme="majorEastAsia" w:hAnsi="Tahoma" w:cs="Tahoma"/>
                <w:bCs/>
              </w:rPr>
              <w:t>.</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Możliwość tworzenia rekursywnych zapytań do bazy danych - SBD musi udostępniać wbudowany mechanizm umożlwiający tworzenie rekursywnych zapytań do bazy danych bez potrzeby pisania specjalnych procedur i wywoływania ich w sposób rekurencyjny.</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Raportowanie zależności między obiektami - SBD musi udostępniać informacje o wzajemnych zależnościach między obiektami bazy danych.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84193D" w:rsidRPr="005B21E3" w:rsidRDefault="0084193D" w:rsidP="0084193D">
            <w:pPr>
              <w:ind w:left="11"/>
              <w:jc w:val="both"/>
              <w:rPr>
                <w:rFonts w:ascii="Tahoma" w:eastAsiaTheme="majorEastAsia" w:hAnsi="Tahoma" w:cs="Tahoma"/>
                <w:bCs/>
              </w:rPr>
            </w:pPr>
            <w:r w:rsidRPr="005B21E3">
              <w:rPr>
                <w:rFonts w:ascii="Tahoma" w:eastAsiaTheme="majorEastAsia" w:hAnsi="Tahoma" w:cs="Tahoma"/>
                <w:bCs/>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 xml:space="preserve">mechanizm </w:t>
            </w:r>
            <w:proofErr w:type="spellStart"/>
            <w:r w:rsidRPr="005B21E3">
              <w:rPr>
                <w:rFonts w:ascii="Tahoma" w:eastAsiaTheme="majorEastAsia" w:hAnsi="Tahoma" w:cs="Tahoma"/>
                <w:bCs/>
              </w:rPr>
              <w:t>debuggowania</w:t>
            </w:r>
            <w:proofErr w:type="spellEnd"/>
            <w:r w:rsidRPr="005B21E3">
              <w:rPr>
                <w:rFonts w:ascii="Tahoma" w:eastAsiaTheme="majorEastAsia" w:hAnsi="Tahoma" w:cs="Tahoma"/>
                <w:bCs/>
              </w:rPr>
              <w:t xml:space="preserve"> tworzonego rozwiązania,</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stawiania „pułapek” (</w:t>
            </w:r>
            <w:proofErr w:type="spellStart"/>
            <w:r w:rsidRPr="005B21E3">
              <w:rPr>
                <w:rFonts w:ascii="Tahoma" w:eastAsiaTheme="majorEastAsia" w:hAnsi="Tahoma" w:cs="Tahoma"/>
                <w:bCs/>
              </w:rPr>
              <w:t>breakpoints</w:t>
            </w:r>
            <w:proofErr w:type="spellEnd"/>
            <w:r w:rsidRPr="005B21E3">
              <w:rPr>
                <w:rFonts w:ascii="Tahoma" w:eastAsiaTheme="majorEastAsia" w:hAnsi="Tahoma" w:cs="Tahoma"/>
                <w:bCs/>
              </w:rPr>
              <w:t>),</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logowania do pliku wykonywanych przez transformację operacji,</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możliwość wznowienia wykonania transformacji od punktu, w którym przerwano jej wykonanie (np. w wyniku pojawienia się błędu),</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 xml:space="preserve">możliwość cofania i ponawiania wprowadzonych przez użytkownika zmian podczas edycji transformacji (funkcja </w:t>
            </w:r>
            <w:proofErr w:type="spellStart"/>
            <w:r w:rsidRPr="005B21E3">
              <w:rPr>
                <w:rFonts w:ascii="Tahoma" w:eastAsiaTheme="majorEastAsia" w:hAnsi="Tahoma" w:cs="Tahoma"/>
                <w:bCs/>
              </w:rPr>
              <w:t>undo</w:t>
            </w:r>
            <w:proofErr w:type="spellEnd"/>
            <w:r w:rsidRPr="005B21E3">
              <w:rPr>
                <w:rFonts w:ascii="Tahoma" w:eastAsiaTheme="majorEastAsia" w:hAnsi="Tahoma" w:cs="Tahoma"/>
                <w:bCs/>
              </w:rPr>
              <w:t>/redo)</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analizy przetwarzanych danych (możliwość podglądu rekordów przetwarzanych w strumieniu danych oraz tworzenia statystyk, np. histogram wartości w przetwarzanych kolumnach tabeli),</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automatyzacji publikowania utworzonych transformacji na serwerze bazy danych (w szczególności tworzenia wersji instalacyjnej pozwalającej automatyzować proces publikacji na wielu serwerach),</w:t>
            </w:r>
          </w:p>
          <w:p w:rsidR="0084193D"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mechanizm tworzenia parametrów zarówno na poziomie poszczególnych pakietów, jak też na poziomie całego projektu, parametry powinny umożliwiać uruchamianie pakietów podrzędnych i przesyłanie do nich wartości parametrów z pakietu nadrzędnego,</w:t>
            </w:r>
          </w:p>
          <w:p w:rsidR="00FA4060" w:rsidRPr="005B21E3" w:rsidRDefault="0084193D" w:rsidP="0044167A">
            <w:pPr>
              <w:pStyle w:val="Akapitzlist"/>
              <w:numPr>
                <w:ilvl w:val="0"/>
                <w:numId w:val="13"/>
              </w:numPr>
              <w:jc w:val="both"/>
              <w:rPr>
                <w:rFonts w:ascii="Tahoma" w:eastAsiaTheme="majorEastAsia" w:hAnsi="Tahoma" w:cs="Tahoma"/>
                <w:bCs/>
              </w:rPr>
            </w:pPr>
            <w:r w:rsidRPr="005B21E3">
              <w:rPr>
                <w:rFonts w:ascii="Tahoma" w:eastAsiaTheme="majorEastAsia" w:hAnsi="Tahoma" w:cs="Tahoma"/>
                <w:bCs/>
              </w:rPr>
              <w:t xml:space="preserve">mechanizm mapowania kolumn wykorzystujący ich nazwę i typ danych do automatycznego </w:t>
            </w:r>
            <w:proofErr w:type="spellStart"/>
            <w:r w:rsidRPr="005B21E3">
              <w:rPr>
                <w:rFonts w:ascii="Tahoma" w:eastAsiaTheme="majorEastAsia" w:hAnsi="Tahoma" w:cs="Tahoma"/>
                <w:bCs/>
              </w:rPr>
              <w:t>przemapowania</w:t>
            </w:r>
            <w:proofErr w:type="spellEnd"/>
            <w:r w:rsidRPr="005B21E3">
              <w:rPr>
                <w:rFonts w:ascii="Tahoma" w:eastAsiaTheme="majorEastAsia" w:hAnsi="Tahoma" w:cs="Tahoma"/>
                <w:bCs/>
              </w:rPr>
              <w:t xml:space="preserve"> kolumn w sytuacji podmiany źródła danych.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w:t>
            </w:r>
            <w:proofErr w:type="spellStart"/>
            <w:r w:rsidRPr="005B21E3">
              <w:rPr>
                <w:rFonts w:ascii="Tahoma" w:eastAsiaTheme="majorEastAsia" w:hAnsi="Tahoma" w:cs="Tahoma"/>
                <w:bCs/>
              </w:rPr>
              <w:t>drill</w:t>
            </w:r>
            <w:proofErr w:type="spellEnd"/>
            <w:r w:rsidRPr="005B21E3">
              <w:rPr>
                <w:rFonts w:ascii="Tahoma" w:eastAsiaTheme="majorEastAsia" w:hAnsi="Tahoma" w:cs="Tahoma"/>
                <w:bCs/>
              </w:rPr>
              <w:t xml:space="preserve"> to </w:t>
            </w:r>
            <w:proofErr w:type="spellStart"/>
            <w:r w:rsidRPr="005B21E3">
              <w:rPr>
                <w:rFonts w:ascii="Tahoma" w:eastAsiaTheme="majorEastAsia" w:hAnsi="Tahoma" w:cs="Tahoma"/>
                <w:bCs/>
              </w:rPr>
              <w:t>detail</w:t>
            </w:r>
            <w:proofErr w:type="spellEnd"/>
            <w:r w:rsidRPr="005B21E3">
              <w:rPr>
                <w:rFonts w:ascii="Tahoma" w:eastAsiaTheme="majorEastAsia" w:hAnsi="Tahoma" w:cs="Tahoma"/>
                <w:bCs/>
              </w:rPr>
              <w:t>).</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pozwalać na dodanie akcji przypisanych do elementów kostek wielowymiarowych (np. pozwalających na przejście użytkownika do raportów kontekstowych lub stron www powiązanych z przeglądanym obszarem kostki).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posiadać narzędzie do rejestracji i śledzenia zapytań wykonywanych do baz analitycznych.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analityczny musi obsługiwać wielojęzyczność (tworzenie obiektów wielowymiarowych w wielu językach – w zależności od ustawień na komputerze klienta).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4193D">
            <w:pPr>
              <w:ind w:left="11"/>
              <w:jc w:val="both"/>
              <w:rPr>
                <w:rFonts w:ascii="Tahoma" w:eastAsiaTheme="majorEastAsia" w:hAnsi="Tahoma" w:cs="Tahoma"/>
                <w:bCs/>
              </w:rPr>
            </w:pPr>
            <w:r w:rsidRPr="005B21E3">
              <w:rPr>
                <w:rFonts w:ascii="Tahoma" w:eastAsiaTheme="majorEastAsia" w:hAnsi="Tahoma" w:cs="Tahoma"/>
                <w:bCs/>
              </w:rPr>
              <w:t xml:space="preserve">Wbudowany system analityczny musi udostępniać rozwiązania Data </w:t>
            </w:r>
            <w:proofErr w:type="spellStart"/>
            <w:r w:rsidRPr="005B21E3">
              <w:rPr>
                <w:rFonts w:ascii="Tahoma" w:eastAsiaTheme="majorEastAsia" w:hAnsi="Tahoma" w:cs="Tahoma"/>
                <w:bCs/>
              </w:rPr>
              <w:t>Mining</w:t>
            </w:r>
            <w:proofErr w:type="spellEnd"/>
            <w:r w:rsidRPr="005B21E3">
              <w:rPr>
                <w:rFonts w:ascii="Tahoma" w:eastAsiaTheme="majorEastAsia" w:hAnsi="Tahoma" w:cs="Tahoma"/>
                <w:bCs/>
              </w:rPr>
              <w:t>, m.in.: algorytmy reguł związków (</w:t>
            </w:r>
            <w:proofErr w:type="spellStart"/>
            <w:r w:rsidRPr="005B21E3">
              <w:rPr>
                <w:rFonts w:ascii="Tahoma" w:eastAsiaTheme="majorEastAsia" w:hAnsi="Tahoma" w:cs="Tahoma"/>
                <w:bCs/>
              </w:rPr>
              <w:t>Association</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Rules</w:t>
            </w:r>
            <w:proofErr w:type="spellEnd"/>
            <w:r w:rsidRPr="005B21E3">
              <w:rPr>
                <w:rFonts w:ascii="Tahoma" w:eastAsiaTheme="majorEastAsia" w:hAnsi="Tahoma" w:cs="Tahoma"/>
                <w:bCs/>
              </w:rPr>
              <w:t>), szeregów czasowych (Time Series), drzew regresji (</w:t>
            </w:r>
            <w:proofErr w:type="spellStart"/>
            <w:r w:rsidRPr="005B21E3">
              <w:rPr>
                <w:rFonts w:ascii="Tahoma" w:eastAsiaTheme="majorEastAsia" w:hAnsi="Tahoma" w:cs="Tahoma"/>
                <w:bCs/>
              </w:rPr>
              <w:t>Regression</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Trees</w:t>
            </w:r>
            <w:proofErr w:type="spellEnd"/>
            <w:r w:rsidRPr="005B21E3">
              <w:rPr>
                <w:rFonts w:ascii="Tahoma" w:eastAsiaTheme="majorEastAsia" w:hAnsi="Tahoma" w:cs="Tahoma"/>
                <w:bCs/>
              </w:rPr>
              <w:t>), sieci neuronowych (</w:t>
            </w:r>
            <w:proofErr w:type="spellStart"/>
            <w:r w:rsidRPr="005B21E3">
              <w:rPr>
                <w:rFonts w:ascii="Tahoma" w:eastAsiaTheme="majorEastAsia" w:hAnsi="Tahoma" w:cs="Tahoma"/>
                <w:bCs/>
              </w:rPr>
              <w:t>Neural</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Nets</w:t>
            </w:r>
            <w:proofErr w:type="spellEnd"/>
            <w:r w:rsidRPr="005B21E3">
              <w:rPr>
                <w:rFonts w:ascii="Tahoma" w:eastAsiaTheme="majorEastAsia" w:hAnsi="Tahoma" w:cs="Tahoma"/>
                <w:bCs/>
              </w:rPr>
              <w:t xml:space="preserve"> oraz </w:t>
            </w:r>
            <w:proofErr w:type="spellStart"/>
            <w:r w:rsidRPr="005B21E3">
              <w:rPr>
                <w:rFonts w:ascii="Tahoma" w:eastAsiaTheme="majorEastAsia" w:hAnsi="Tahoma" w:cs="Tahoma"/>
                <w:bCs/>
              </w:rPr>
              <w:t>Naive</w:t>
            </w:r>
            <w:proofErr w:type="spellEnd"/>
            <w:r w:rsidRPr="005B21E3">
              <w:rPr>
                <w:rFonts w:ascii="Tahoma" w:eastAsiaTheme="majorEastAsia" w:hAnsi="Tahoma" w:cs="Tahoma"/>
                <w:bCs/>
              </w:rPr>
              <w:t xml:space="preserve"> Bayes). Dodatkowo system musi udostępniać narzędzia do wizualizacji danych z modelu Data </w:t>
            </w:r>
            <w:proofErr w:type="spellStart"/>
            <w:r w:rsidRPr="005B21E3">
              <w:rPr>
                <w:rFonts w:ascii="Tahoma" w:eastAsiaTheme="majorEastAsia" w:hAnsi="Tahoma" w:cs="Tahoma"/>
                <w:bCs/>
              </w:rPr>
              <w:t>Mining</w:t>
            </w:r>
            <w:proofErr w:type="spellEnd"/>
            <w:r w:rsidRPr="005B21E3">
              <w:rPr>
                <w:rFonts w:ascii="Tahoma" w:eastAsiaTheme="majorEastAsia" w:hAnsi="Tahoma" w:cs="Tahoma"/>
                <w:bCs/>
              </w:rPr>
              <w:t xml:space="preserve"> oraz język zapytań do odpytywania tych modeli.</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Tworzenie głównych wskaźników wydajności KPI (</w:t>
            </w:r>
            <w:proofErr w:type="spellStart"/>
            <w:r w:rsidRPr="005B21E3">
              <w:rPr>
                <w:rFonts w:ascii="Tahoma" w:eastAsiaTheme="majorEastAsia" w:hAnsi="Tahoma" w:cs="Tahoma"/>
                <w:bCs/>
              </w:rPr>
              <w:t>Key</w:t>
            </w:r>
            <w:proofErr w:type="spellEnd"/>
            <w:r w:rsidRPr="005B21E3">
              <w:rPr>
                <w:rFonts w:ascii="Tahoma" w:eastAsiaTheme="majorEastAsia" w:hAnsi="Tahoma" w:cs="Tahoma"/>
                <w:bCs/>
              </w:rPr>
              <w:t xml:space="preserve"> Performance </w:t>
            </w:r>
            <w:proofErr w:type="spellStart"/>
            <w:r w:rsidRPr="005B21E3">
              <w:rPr>
                <w:rFonts w:ascii="Tahoma" w:eastAsiaTheme="majorEastAsia" w:hAnsi="Tahoma" w:cs="Tahoma"/>
                <w:bCs/>
              </w:rPr>
              <w:t>Indicators</w:t>
            </w:r>
            <w:proofErr w:type="spellEnd"/>
            <w:r w:rsidRPr="005B21E3">
              <w:rPr>
                <w:rFonts w:ascii="Tahoma" w:eastAsiaTheme="majorEastAsia" w:hAnsi="Tahoma" w:cs="Tahoma"/>
                <w:bCs/>
              </w:rPr>
              <w:t xml:space="preserve"> - kluczowe czynniki sukcesu) - SBD musi udostępniać użytkownikom możliwość tworzenia wskaźników KPI (</w:t>
            </w:r>
            <w:proofErr w:type="spellStart"/>
            <w:r w:rsidRPr="005B21E3">
              <w:rPr>
                <w:rFonts w:ascii="Tahoma" w:eastAsiaTheme="majorEastAsia" w:hAnsi="Tahoma" w:cs="Tahoma"/>
                <w:bCs/>
              </w:rPr>
              <w:t>Key</w:t>
            </w:r>
            <w:proofErr w:type="spellEnd"/>
            <w:r w:rsidRPr="005B21E3">
              <w:rPr>
                <w:rFonts w:ascii="Tahoma" w:eastAsiaTheme="majorEastAsia" w:hAnsi="Tahoma" w:cs="Tahoma"/>
                <w:bCs/>
              </w:rPr>
              <w:t xml:space="preserve"> Performance </w:t>
            </w:r>
            <w:proofErr w:type="spellStart"/>
            <w:r w:rsidRPr="005B21E3">
              <w:rPr>
                <w:rFonts w:ascii="Tahoma" w:eastAsiaTheme="majorEastAsia" w:hAnsi="Tahoma" w:cs="Tahoma"/>
                <w:bCs/>
              </w:rPr>
              <w:t>Indicators</w:t>
            </w:r>
            <w:proofErr w:type="spellEnd"/>
            <w:r w:rsidRPr="005B21E3">
              <w:rPr>
                <w:rFonts w:ascii="Tahoma" w:eastAsiaTheme="majorEastAsia" w:hAnsi="Tahoma" w:cs="Tahoma"/>
                <w:bCs/>
              </w:rPr>
              <w:t>) na podstawie danych zgromadzonych w strukturach wielowymiarowych. W szczególności powinien pozwalać na zdefiniowanie takich elementów, jak: wartość aktualna, cel, trend, symbol graficzny wskaźnika w zależności od stosunku wartości aktualnej do celu.</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84193D" w:rsidRPr="005B21E3" w:rsidRDefault="0084193D" w:rsidP="0084193D">
            <w:pPr>
              <w:ind w:left="11"/>
              <w:jc w:val="both"/>
              <w:rPr>
                <w:rFonts w:ascii="Tahoma" w:eastAsiaTheme="majorEastAsia" w:hAnsi="Tahoma" w:cs="Tahoma"/>
                <w:bCs/>
              </w:rPr>
            </w:pPr>
            <w:r w:rsidRPr="005B21E3">
              <w:rPr>
                <w:rFonts w:ascii="Tahoma" w:eastAsiaTheme="majorEastAsia" w:hAnsi="Tahoma" w:cs="Tahoma"/>
                <w:bCs/>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raporty parametryzowane,</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cache raportów (generacja raportów bez dostępu do źródła danych),</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cache raportów parametryzowanych (generacja raportów bez dostępu do źródła danych, z różnymi wartościami parametrów),</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współdzielenie predefiniowanych zapytań do źródeł danych,</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 xml:space="preserve">wizualizację danych analitycznych na mapach geograficznych (w tym import map w formacie ESRI </w:t>
            </w:r>
            <w:proofErr w:type="spellStart"/>
            <w:r w:rsidRPr="005B21E3">
              <w:rPr>
                <w:rFonts w:ascii="Tahoma" w:eastAsiaTheme="majorEastAsia" w:hAnsi="Tahoma" w:cs="Tahoma"/>
                <w:bCs/>
              </w:rPr>
              <w:t>Shape</w:t>
            </w:r>
            <w:proofErr w:type="spellEnd"/>
            <w:r w:rsidRPr="005B21E3">
              <w:rPr>
                <w:rFonts w:ascii="Tahoma" w:eastAsiaTheme="majorEastAsia" w:hAnsi="Tahoma" w:cs="Tahoma"/>
                <w:bCs/>
              </w:rPr>
              <w:t xml:space="preserve"> File),</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opublikowania elementu raportu (wykresu, tabeli) we współdzielonej bibliotece, z której mogą korzystać inni użytkownicy tworzący nowy raport,</w:t>
            </w:r>
          </w:p>
          <w:p w:rsidR="0084193D"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możliwość wizualizacji wskaźników KPI,</w:t>
            </w:r>
          </w:p>
          <w:p w:rsidR="00FA4060" w:rsidRPr="005B21E3" w:rsidRDefault="0084193D" w:rsidP="0044167A">
            <w:pPr>
              <w:pStyle w:val="Akapitzlist"/>
              <w:numPr>
                <w:ilvl w:val="0"/>
                <w:numId w:val="14"/>
              </w:numPr>
              <w:jc w:val="both"/>
              <w:rPr>
                <w:rFonts w:ascii="Tahoma" w:eastAsiaTheme="majorEastAsia" w:hAnsi="Tahoma" w:cs="Tahoma"/>
                <w:bCs/>
              </w:rPr>
            </w:pPr>
            <w:r w:rsidRPr="005B21E3">
              <w:rPr>
                <w:rFonts w:ascii="Tahoma" w:eastAsiaTheme="majorEastAsia" w:hAnsi="Tahoma" w:cs="Tahoma"/>
                <w:bCs/>
              </w:rPr>
              <w:t xml:space="preserve">możliwość wizualizacji danych w postaci obiektów </w:t>
            </w:r>
            <w:proofErr w:type="spellStart"/>
            <w:r w:rsidRPr="005B21E3">
              <w:rPr>
                <w:rFonts w:ascii="Tahoma" w:eastAsiaTheme="majorEastAsia" w:hAnsi="Tahoma" w:cs="Tahoma"/>
                <w:bCs/>
              </w:rPr>
              <w:t>sparkline</w:t>
            </w:r>
            <w:proofErr w:type="spellEnd"/>
            <w:r w:rsidRPr="005B21E3">
              <w:rPr>
                <w:rFonts w:ascii="Tahoma" w:eastAsiaTheme="majorEastAsia" w:hAnsi="Tahoma" w:cs="Tahoma"/>
                <w:bCs/>
              </w:rPr>
              <w:t>.</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Środowisko raportowania powinno być osadzone i administrowane z wykorzystaniem mechanizmu Web Serwisów (Web Services).</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 xml:space="preserve">Wymagane jest generowanie raportów w formatach: XML, PDF, Microsoft Excel, Microsoft Word, HTML, TIFF. Dodatkowo raporty powinny być eksportowane w formacie Atom data </w:t>
            </w:r>
            <w:proofErr w:type="spellStart"/>
            <w:r w:rsidRPr="005B21E3">
              <w:rPr>
                <w:rFonts w:ascii="Tahoma" w:eastAsiaTheme="majorEastAsia" w:hAnsi="Tahoma" w:cs="Tahoma"/>
                <w:bCs/>
              </w:rPr>
              <w:t>feeds</w:t>
            </w:r>
            <w:proofErr w:type="spellEnd"/>
            <w:r w:rsidRPr="005B21E3">
              <w:rPr>
                <w:rFonts w:ascii="Tahoma" w:eastAsiaTheme="majorEastAsia" w:hAnsi="Tahoma" w:cs="Tahoma"/>
                <w:bCs/>
              </w:rPr>
              <w:t>, które można będzie wykorzystać jako źródło danych w innych aplikacjach.</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SBD musi umożliwiać wysyłkę raportów drogą mailową w wybranym formacie (subskrypcja).</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Wbudowany system raportowania musi posiadać rozszerzalną architekturę oraz otwarte interfejsy do osadzania raportów oraz do integrowania rozwiązania z różnorodnymi środowiskami IT.</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 xml:space="preserve">W celu zwiększenia wydajności przetwarzania system bazy danych musi posiadać wbudowaną funkcjonalność pozwalającą na rozszerzenie </w:t>
            </w:r>
            <w:proofErr w:type="spellStart"/>
            <w:r w:rsidRPr="005B21E3">
              <w:rPr>
                <w:rFonts w:ascii="Tahoma" w:eastAsiaTheme="majorEastAsia" w:hAnsi="Tahoma" w:cs="Tahoma"/>
                <w:bCs/>
              </w:rPr>
              <w:t>cache’u</w:t>
            </w:r>
            <w:proofErr w:type="spellEnd"/>
            <w:r w:rsidRPr="005B21E3">
              <w:rPr>
                <w:rFonts w:ascii="Tahoma" w:eastAsiaTheme="majorEastAsia" w:hAnsi="Tahoma" w:cs="Tahoma"/>
                <w:bCs/>
              </w:rPr>
              <w:t xml:space="preserve"> przetwarzania w pamięci RAM o dodatkową przestrzeń na dysku SSD.</w:t>
            </w:r>
          </w:p>
        </w:tc>
      </w:tr>
      <w:tr w:rsidR="00FA4060" w:rsidRPr="005B21E3" w:rsidTr="00FA4060">
        <w:tc>
          <w:tcPr>
            <w:tcW w:w="525" w:type="dxa"/>
            <w:shd w:val="clear" w:color="auto" w:fill="BFBFBF" w:themeFill="background1" w:themeFillShade="BF"/>
            <w:tcMar>
              <w:top w:w="55" w:type="dxa"/>
              <w:left w:w="55" w:type="dxa"/>
              <w:bottom w:w="55" w:type="dxa"/>
              <w:right w:w="55" w:type="dxa"/>
            </w:tcMar>
          </w:tcPr>
          <w:p w:rsidR="00FA4060" w:rsidRPr="005B21E3" w:rsidRDefault="00FA4060" w:rsidP="0044167A">
            <w:pPr>
              <w:pStyle w:val="Akapitzlist"/>
              <w:numPr>
                <w:ilvl w:val="0"/>
                <w:numId w:val="19"/>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FA4060" w:rsidRPr="005B21E3" w:rsidRDefault="0084193D" w:rsidP="008F66B6">
            <w:pPr>
              <w:ind w:left="11"/>
              <w:jc w:val="both"/>
              <w:rPr>
                <w:rFonts w:ascii="Tahoma" w:eastAsiaTheme="majorEastAsia" w:hAnsi="Tahoma" w:cs="Tahoma"/>
                <w:bCs/>
              </w:rPr>
            </w:pPr>
            <w:r w:rsidRPr="005B21E3">
              <w:rPr>
                <w:rFonts w:ascii="Tahoma" w:eastAsiaTheme="majorEastAsia" w:hAnsi="Tahoma" w:cs="Tahoma"/>
                <w:bCs/>
              </w:rPr>
              <w:t>System bazy danych, w celu zwiększenia wydajności, musi zapewniać możliwość asynchronicznego zatwierdzania transakcji bazodanowych (</w:t>
            </w:r>
            <w:proofErr w:type="spellStart"/>
            <w:r w:rsidRPr="005B21E3">
              <w:rPr>
                <w:rFonts w:ascii="Tahoma" w:eastAsiaTheme="majorEastAsia" w:hAnsi="Tahoma" w:cs="Tahoma"/>
                <w:bCs/>
              </w:rPr>
              <w:t>lazy</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commit</w:t>
            </w:r>
            <w:proofErr w:type="spellEnd"/>
            <w:r w:rsidRPr="005B21E3">
              <w:rPr>
                <w:rFonts w:ascii="Tahoma" w:eastAsiaTheme="majorEastAsia" w:hAnsi="Tahoma" w:cs="Tahoma"/>
                <w:bCs/>
              </w:rPr>
              <w:t>). Włączenie asynchronicznego zatwierdzania transakcji powinno być dostępne zarówno na poziomie wybranej bazy danych, jak również z poziomu kodu pojedynczych procedur/zapytań.</w:t>
            </w:r>
          </w:p>
        </w:tc>
      </w:tr>
    </w:tbl>
    <w:p w:rsidR="00FA4060" w:rsidRPr="005B21E3" w:rsidRDefault="00FA4060" w:rsidP="00FA4060">
      <w:pPr>
        <w:pStyle w:val="Nagwek3"/>
        <w:numPr>
          <w:ilvl w:val="0"/>
          <w:numId w:val="0"/>
        </w:numPr>
        <w:ind w:left="720"/>
        <w:rPr>
          <w:rFonts w:ascii="Tahoma" w:hAnsi="Tahoma" w:cs="Tahoma"/>
          <w:szCs w:val="22"/>
        </w:rPr>
      </w:pPr>
    </w:p>
    <w:bookmarkEnd w:id="9"/>
    <w:bookmarkEnd w:id="10"/>
    <w:p w:rsidR="004A09BB" w:rsidRPr="005B21E3" w:rsidRDefault="004A09BB" w:rsidP="0044167A">
      <w:pPr>
        <w:pStyle w:val="Nagwek3"/>
        <w:numPr>
          <w:ilvl w:val="2"/>
          <w:numId w:val="1"/>
        </w:numPr>
        <w:rPr>
          <w:rFonts w:ascii="Tahoma" w:hAnsi="Tahoma" w:cs="Tahoma"/>
          <w:szCs w:val="22"/>
        </w:rPr>
      </w:pPr>
      <w:r w:rsidRPr="005B21E3">
        <w:rPr>
          <w:rFonts w:ascii="Tahoma" w:eastAsiaTheme="majorEastAsia" w:hAnsi="Tahoma" w:cs="Tahoma"/>
          <w:bCs/>
          <w:szCs w:val="22"/>
        </w:rPr>
        <w:t xml:space="preserve">Licencja dostępowa Microsoft Exchange Standard </w:t>
      </w:r>
      <w:r w:rsidRPr="005B21E3">
        <w:rPr>
          <w:rFonts w:ascii="Tahoma" w:eastAsiaTheme="majorEastAsia" w:hAnsi="Tahoma" w:cs="Tahoma"/>
          <w:bCs/>
        </w:rPr>
        <w:t>2016</w:t>
      </w:r>
      <w:r w:rsidRPr="005B21E3">
        <w:rPr>
          <w:rFonts w:ascii="Tahoma" w:eastAsiaTheme="majorEastAsia" w:hAnsi="Tahoma" w:cs="Tahoma"/>
          <w:bCs/>
          <w:szCs w:val="22"/>
        </w:rPr>
        <w:t xml:space="preserve"> typu CAL </w:t>
      </w:r>
      <w:r w:rsidRPr="005B21E3">
        <w:rPr>
          <w:rFonts w:ascii="Tahoma" w:eastAsiaTheme="majorEastAsia" w:hAnsi="Tahoma" w:cs="Tahoma"/>
          <w:bCs/>
        </w:rPr>
        <w:t>User</w:t>
      </w:r>
      <w:r w:rsidRPr="005B21E3">
        <w:rPr>
          <w:rFonts w:ascii="Tahoma" w:hAnsi="Tahoma" w:cs="Tahoma"/>
          <w:szCs w:val="22"/>
        </w:rPr>
        <w:t xml:space="preserve"> lub </w:t>
      </w:r>
      <w:r w:rsidR="00466F0C" w:rsidRPr="005B21E3">
        <w:rPr>
          <w:rFonts w:ascii="Tahoma" w:hAnsi="Tahoma" w:cs="Tahoma"/>
          <w:szCs w:val="22"/>
        </w:rPr>
        <w:t xml:space="preserve">produkt </w:t>
      </w:r>
      <w:r w:rsidRPr="005B21E3">
        <w:rPr>
          <w:rFonts w:ascii="Tahoma" w:hAnsi="Tahoma" w:cs="Tahoma"/>
          <w:szCs w:val="22"/>
        </w:rPr>
        <w:t xml:space="preserve">równoważny: </w:t>
      </w:r>
    </w:p>
    <w:p w:rsidR="004A09BB" w:rsidRPr="005B21E3" w:rsidRDefault="00076ADD" w:rsidP="004A09BB">
      <w:pPr>
        <w:ind w:left="11"/>
        <w:jc w:val="both"/>
        <w:rPr>
          <w:rFonts w:ascii="Tahoma" w:eastAsiaTheme="majorEastAsia" w:hAnsi="Tahoma" w:cs="Tahoma"/>
          <w:bCs/>
        </w:rPr>
      </w:pPr>
      <w:r w:rsidRPr="005B21E3">
        <w:rPr>
          <w:rFonts w:ascii="Tahoma" w:eastAsiaTheme="majorEastAsia" w:hAnsi="Tahoma" w:cs="Tahoma"/>
          <w:b/>
          <w:bCs/>
        </w:rPr>
        <w:t>1</w:t>
      </w:r>
      <w:r w:rsidR="004A09BB" w:rsidRPr="005B21E3">
        <w:rPr>
          <w:rFonts w:ascii="Tahoma" w:eastAsiaTheme="majorEastAsia" w:hAnsi="Tahoma" w:cs="Tahoma"/>
          <w:b/>
          <w:bCs/>
        </w:rPr>
        <w:t xml:space="preserve"> licencj</w:t>
      </w:r>
      <w:r w:rsidRPr="005B21E3">
        <w:rPr>
          <w:rFonts w:ascii="Tahoma" w:eastAsiaTheme="majorEastAsia" w:hAnsi="Tahoma" w:cs="Tahoma"/>
          <w:b/>
          <w:bCs/>
        </w:rPr>
        <w:t>a</w:t>
      </w:r>
      <w:r w:rsidR="004A09BB" w:rsidRPr="005B21E3">
        <w:rPr>
          <w:rFonts w:ascii="Tahoma" w:eastAsiaTheme="majorEastAsia" w:hAnsi="Tahoma" w:cs="Tahoma"/>
          <w:b/>
          <w:bCs/>
        </w:rPr>
        <w:t xml:space="preserve"> </w:t>
      </w:r>
      <w:r w:rsidRPr="005B21E3">
        <w:rPr>
          <w:rFonts w:ascii="Tahoma" w:eastAsiaTheme="majorEastAsia" w:hAnsi="Tahoma" w:cs="Tahoma"/>
          <w:b/>
          <w:bCs/>
        </w:rPr>
        <w:t xml:space="preserve">dla 200 </w:t>
      </w:r>
      <w:r w:rsidR="005B21E3" w:rsidRPr="005B21E3">
        <w:rPr>
          <w:rFonts w:ascii="Tahoma" w:eastAsiaTheme="majorEastAsia" w:hAnsi="Tahoma" w:cs="Tahoma"/>
          <w:b/>
          <w:bCs/>
        </w:rPr>
        <w:t xml:space="preserve">użytkowników </w:t>
      </w:r>
      <w:r w:rsidR="005B21E3" w:rsidRPr="005B21E3">
        <w:rPr>
          <w:rFonts w:ascii="Tahoma" w:eastAsiaTheme="majorEastAsia" w:hAnsi="Tahoma" w:cs="Tahoma"/>
          <w:bCs/>
        </w:rPr>
        <w:t>w celu</w:t>
      </w:r>
      <w:r w:rsidRPr="005B21E3">
        <w:rPr>
          <w:rFonts w:ascii="Tahoma" w:eastAsiaTheme="majorEastAsia" w:hAnsi="Tahoma" w:cs="Tahoma"/>
          <w:bCs/>
        </w:rPr>
        <w:t xml:space="preserve"> usług </w:t>
      </w:r>
      <w:r w:rsidR="004A09BB" w:rsidRPr="005B21E3">
        <w:rPr>
          <w:rFonts w:ascii="Tahoma" w:eastAsiaTheme="majorEastAsia" w:hAnsi="Tahoma" w:cs="Tahoma"/>
          <w:bCs/>
        </w:rPr>
        <w:t xml:space="preserve">dostępowych </w:t>
      </w:r>
      <w:r w:rsidR="005B21E3" w:rsidRPr="005B21E3">
        <w:rPr>
          <w:rFonts w:ascii="Tahoma" w:eastAsiaTheme="majorEastAsia" w:hAnsi="Tahoma" w:cs="Tahoma"/>
          <w:bCs/>
        </w:rPr>
        <w:t xml:space="preserve">typu </w:t>
      </w:r>
      <w:r w:rsidR="004A09BB" w:rsidRPr="005B21E3">
        <w:rPr>
          <w:rFonts w:ascii="Tahoma" w:eastAsiaTheme="majorEastAsia" w:hAnsi="Tahoma" w:cs="Tahoma"/>
          <w:bCs/>
        </w:rPr>
        <w:t xml:space="preserve">na użytkownika do oprogramowania Microsoft Exchange Server Standard 2013 z dożywotnią licencją użytkowania. Warunki licencjonowania muszą zezwalać korzystanie licencji dostępowej dla Microsoft Exchange Standard 2016 i niższe wersje. </w:t>
      </w:r>
    </w:p>
    <w:tbl>
      <w:tblPr>
        <w:tblStyle w:val="Tabela-Siatka"/>
        <w:tblW w:w="0" w:type="auto"/>
        <w:tblInd w:w="11" w:type="dxa"/>
        <w:tblLook w:val="04A0" w:firstRow="1" w:lastRow="0" w:firstColumn="1" w:lastColumn="0" w:noHBand="0" w:noVBand="1"/>
      </w:tblPr>
      <w:tblGrid>
        <w:gridCol w:w="550"/>
        <w:gridCol w:w="8501"/>
      </w:tblGrid>
      <w:tr w:rsidR="004A09BB" w:rsidRPr="005B21E3" w:rsidTr="004A09BB">
        <w:trPr>
          <w:trHeight w:val="461"/>
        </w:trPr>
        <w:tc>
          <w:tcPr>
            <w:tcW w:w="550" w:type="dxa"/>
            <w:shd w:val="clear" w:color="auto" w:fill="BFBFBF" w:themeFill="background1" w:themeFillShade="BF"/>
            <w:vAlign w:val="center"/>
          </w:tcPr>
          <w:p w:rsidR="004A09BB" w:rsidRPr="005B21E3" w:rsidRDefault="004A09BB" w:rsidP="004A09BB">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8666" w:type="dxa"/>
            <w:shd w:val="clear" w:color="auto" w:fill="BFBFBF" w:themeFill="background1" w:themeFillShade="BF"/>
            <w:vAlign w:val="center"/>
          </w:tcPr>
          <w:p w:rsidR="004A09BB" w:rsidRPr="005B21E3" w:rsidRDefault="004A09BB" w:rsidP="004A09BB">
            <w:pPr>
              <w:jc w:val="both"/>
              <w:rPr>
                <w:rFonts w:ascii="Tahoma" w:eastAsiaTheme="majorEastAsia" w:hAnsi="Tahoma" w:cs="Tahoma"/>
                <w:bCs/>
              </w:rPr>
            </w:pPr>
            <w:r w:rsidRPr="005B21E3">
              <w:rPr>
                <w:rFonts w:ascii="Tahoma" w:hAnsi="Tahoma" w:cs="Tahoma"/>
                <w:b/>
                <w:bCs/>
              </w:rPr>
              <w:t>Warunek równoważności</w:t>
            </w:r>
          </w:p>
        </w:tc>
      </w:tr>
      <w:tr w:rsidR="004A09BB" w:rsidRPr="005B21E3" w:rsidTr="004A09BB">
        <w:tc>
          <w:tcPr>
            <w:tcW w:w="550" w:type="dxa"/>
            <w:shd w:val="clear" w:color="auto" w:fill="BFBFBF" w:themeFill="background1" w:themeFillShade="BF"/>
          </w:tcPr>
          <w:p w:rsidR="004A09BB" w:rsidRPr="005B21E3" w:rsidRDefault="004A09BB" w:rsidP="0044167A">
            <w:pPr>
              <w:pStyle w:val="Akapitzlist"/>
              <w:numPr>
                <w:ilvl w:val="0"/>
                <w:numId w:val="7"/>
              </w:numPr>
              <w:jc w:val="both"/>
              <w:rPr>
                <w:rFonts w:ascii="Tahoma" w:eastAsiaTheme="majorEastAsia" w:hAnsi="Tahoma" w:cs="Tahoma"/>
                <w:bCs/>
              </w:rPr>
            </w:pPr>
          </w:p>
        </w:tc>
        <w:tc>
          <w:tcPr>
            <w:tcW w:w="8666" w:type="dxa"/>
          </w:tcPr>
          <w:p w:rsidR="004A09BB" w:rsidRPr="005B21E3" w:rsidRDefault="004A09BB" w:rsidP="004A09BB">
            <w:pPr>
              <w:spacing w:line="276" w:lineRule="auto"/>
              <w:jc w:val="both"/>
              <w:rPr>
                <w:rFonts w:ascii="Tahoma" w:eastAsiaTheme="majorEastAsia" w:hAnsi="Tahoma" w:cs="Tahoma"/>
                <w:bCs/>
              </w:rPr>
            </w:pPr>
            <w:r w:rsidRPr="005B21E3">
              <w:rPr>
                <w:rFonts w:ascii="Tahoma" w:eastAsiaTheme="majorEastAsia" w:hAnsi="Tahoma" w:cs="Tahoma"/>
                <w:bCs/>
              </w:rPr>
              <w:t>Licencja równoważna musi zezwalać na pracę w systemie Microsoft Exchange Standard 2013.</w:t>
            </w:r>
          </w:p>
        </w:tc>
      </w:tr>
    </w:tbl>
    <w:p w:rsidR="004A09BB" w:rsidRPr="005B21E3" w:rsidRDefault="004A09BB" w:rsidP="004A09BB">
      <w:pPr>
        <w:ind w:left="11"/>
        <w:jc w:val="both"/>
        <w:rPr>
          <w:rFonts w:ascii="Tahoma" w:eastAsiaTheme="majorEastAsia" w:hAnsi="Tahoma" w:cs="Tahoma"/>
          <w:bCs/>
        </w:rPr>
      </w:pPr>
    </w:p>
    <w:p w:rsidR="003D24E3" w:rsidRPr="005B21E3" w:rsidRDefault="003D24E3" w:rsidP="003D24E3">
      <w:pPr>
        <w:pStyle w:val="Nagwek3"/>
        <w:rPr>
          <w:rFonts w:ascii="Tahoma" w:eastAsiaTheme="majorEastAsia" w:hAnsi="Tahoma" w:cs="Tahoma"/>
        </w:rPr>
      </w:pPr>
      <w:bookmarkStart w:id="11" w:name="OLE_LINK71"/>
      <w:bookmarkStart w:id="12" w:name="OLE_LINK72"/>
      <w:bookmarkStart w:id="13" w:name="OLE_LINK73"/>
      <w:r w:rsidRPr="005B21E3">
        <w:rPr>
          <w:rFonts w:ascii="Tahoma" w:eastAsiaTheme="majorEastAsia" w:hAnsi="Tahoma" w:cs="Tahoma"/>
        </w:rPr>
        <w:t xml:space="preserve">Licencja oprogramowania systemu operacyjnego Microsoft Windows Server 2016 Datacenter </w:t>
      </w:r>
      <w:proofErr w:type="spellStart"/>
      <w:r w:rsidRPr="005B21E3">
        <w:rPr>
          <w:rFonts w:ascii="Tahoma" w:eastAsiaTheme="majorEastAsia" w:hAnsi="Tahoma" w:cs="Tahoma"/>
        </w:rPr>
        <w:t>Core</w:t>
      </w:r>
      <w:proofErr w:type="spellEnd"/>
      <w:r w:rsidRPr="005B21E3">
        <w:rPr>
          <w:rFonts w:ascii="Tahoma" w:eastAsiaTheme="majorEastAsia" w:hAnsi="Tahoma" w:cs="Tahoma"/>
        </w:rPr>
        <w:t xml:space="preserve"> w polskiej wersji językowej lub produkt równoważny:</w:t>
      </w:r>
    </w:p>
    <w:p w:rsidR="003D24E3" w:rsidRPr="005B21E3" w:rsidRDefault="003D24E3" w:rsidP="003D24E3">
      <w:pPr>
        <w:ind w:left="11"/>
        <w:jc w:val="both"/>
        <w:rPr>
          <w:rFonts w:ascii="Tahoma" w:eastAsiaTheme="majorEastAsia" w:hAnsi="Tahoma" w:cs="Tahoma"/>
          <w:bCs/>
        </w:rPr>
      </w:pPr>
      <w:r w:rsidRPr="005B21E3">
        <w:rPr>
          <w:rFonts w:ascii="Tahoma" w:eastAsiaTheme="majorEastAsia" w:hAnsi="Tahoma" w:cs="Tahoma"/>
          <w:b/>
          <w:bCs/>
        </w:rPr>
        <w:t>3 licencje</w:t>
      </w:r>
      <w:r w:rsidRPr="005B21E3">
        <w:rPr>
          <w:rFonts w:ascii="Tahoma" w:eastAsiaTheme="majorEastAsia" w:hAnsi="Tahoma" w:cs="Tahoma"/>
          <w:bCs/>
        </w:rPr>
        <w:t xml:space="preserve"> oprogramowania (typu 16-core </w:t>
      </w:r>
      <w:proofErr w:type="spellStart"/>
      <w:r w:rsidRPr="005B21E3">
        <w:rPr>
          <w:rFonts w:ascii="Tahoma" w:eastAsiaTheme="majorEastAsia" w:hAnsi="Tahoma" w:cs="Tahoma"/>
          <w:bCs/>
        </w:rPr>
        <w:t>licenses</w:t>
      </w:r>
      <w:proofErr w:type="spellEnd"/>
      <w:r w:rsidRPr="005B21E3">
        <w:rPr>
          <w:rFonts w:ascii="Tahoma" w:eastAsiaTheme="majorEastAsia" w:hAnsi="Tahoma" w:cs="Tahoma"/>
          <w:bCs/>
        </w:rPr>
        <w:t>) dla instytucji samorządowych, na nośniku CD/DVD lub udostępnienie oprogramowania drogą elektroniczną poprzez dostęp do strony internetowej zawierającej dane oprogramowanie. Licencja – bez ograniczeń czasowych.</w:t>
      </w:r>
    </w:p>
    <w:p w:rsidR="003D24E3" w:rsidRPr="005B21E3" w:rsidRDefault="003D24E3" w:rsidP="003D24E3">
      <w:pPr>
        <w:ind w:left="11"/>
        <w:jc w:val="both"/>
        <w:rPr>
          <w:rFonts w:ascii="Tahoma" w:eastAsiaTheme="majorEastAsia" w:hAnsi="Tahoma" w:cs="Tahoma"/>
          <w:bCs/>
        </w:rPr>
      </w:pPr>
      <w:r w:rsidRPr="005B21E3">
        <w:rPr>
          <w:rFonts w:ascii="Tahoma" w:eastAsiaTheme="majorEastAsia" w:hAnsi="Tahoma" w:cs="Tahoma"/>
          <w:bCs/>
        </w:rPr>
        <w:t>Warunki licencjonowania muszą zezwalać na:</w:t>
      </w:r>
    </w:p>
    <w:p w:rsidR="003D24E3" w:rsidRPr="005B21E3" w:rsidRDefault="003D24E3" w:rsidP="0044167A">
      <w:pPr>
        <w:pStyle w:val="Akapitzlist"/>
        <w:numPr>
          <w:ilvl w:val="0"/>
          <w:numId w:val="29"/>
        </w:numPr>
        <w:jc w:val="both"/>
        <w:rPr>
          <w:rFonts w:ascii="Tahoma" w:eastAsiaTheme="majorEastAsia" w:hAnsi="Tahoma" w:cs="Tahoma"/>
          <w:b/>
          <w:bCs/>
        </w:rPr>
      </w:pPr>
      <w:r w:rsidRPr="005B21E3">
        <w:rPr>
          <w:rFonts w:ascii="Tahoma" w:eastAsiaTheme="majorEastAsia" w:hAnsi="Tahoma" w:cs="Tahoma"/>
          <w:bCs/>
        </w:rPr>
        <w:t>korzystanie oprogramowania na</w:t>
      </w:r>
      <w:r w:rsidR="00D55A9D" w:rsidRPr="005B21E3">
        <w:rPr>
          <w:rFonts w:ascii="Tahoma" w:eastAsiaTheme="majorEastAsia" w:hAnsi="Tahoma" w:cs="Tahoma"/>
          <w:bCs/>
        </w:rPr>
        <w:t xml:space="preserve"> trzech</w:t>
      </w:r>
      <w:r w:rsidRPr="005B21E3">
        <w:rPr>
          <w:rFonts w:ascii="Tahoma" w:eastAsiaTheme="majorEastAsia" w:hAnsi="Tahoma" w:cs="Tahoma"/>
          <w:bCs/>
        </w:rPr>
        <w:t xml:space="preserve"> fizyczn</w:t>
      </w:r>
      <w:r w:rsidR="00D55A9D" w:rsidRPr="005B21E3">
        <w:rPr>
          <w:rFonts w:ascii="Tahoma" w:eastAsiaTheme="majorEastAsia" w:hAnsi="Tahoma" w:cs="Tahoma"/>
          <w:bCs/>
        </w:rPr>
        <w:t>ych</w:t>
      </w:r>
      <w:r w:rsidRPr="005B21E3">
        <w:rPr>
          <w:rFonts w:ascii="Tahoma" w:eastAsiaTheme="majorEastAsia" w:hAnsi="Tahoma" w:cs="Tahoma"/>
          <w:bCs/>
        </w:rPr>
        <w:t xml:space="preserve"> serwer</w:t>
      </w:r>
      <w:r w:rsidR="00D55A9D" w:rsidRPr="005B21E3">
        <w:rPr>
          <w:rFonts w:ascii="Tahoma" w:eastAsiaTheme="majorEastAsia" w:hAnsi="Tahoma" w:cs="Tahoma"/>
          <w:bCs/>
        </w:rPr>
        <w:t>ach</w:t>
      </w:r>
      <w:r w:rsidRPr="005B21E3">
        <w:rPr>
          <w:rFonts w:ascii="Tahoma" w:eastAsiaTheme="majorEastAsia" w:hAnsi="Tahoma" w:cs="Tahoma"/>
          <w:bCs/>
        </w:rPr>
        <w:t xml:space="preserve"> posiadając dwa procesory po 6 rdzeni,</w:t>
      </w:r>
    </w:p>
    <w:p w:rsidR="003D24E3" w:rsidRPr="005B21E3" w:rsidRDefault="003D24E3" w:rsidP="0044167A">
      <w:pPr>
        <w:pStyle w:val="Akapitzlist"/>
        <w:numPr>
          <w:ilvl w:val="0"/>
          <w:numId w:val="29"/>
        </w:numPr>
        <w:jc w:val="both"/>
        <w:rPr>
          <w:rFonts w:ascii="Tahoma" w:eastAsiaTheme="majorEastAsia" w:hAnsi="Tahoma" w:cs="Tahoma"/>
          <w:b/>
          <w:bCs/>
        </w:rPr>
      </w:pPr>
      <w:r w:rsidRPr="005B21E3">
        <w:rPr>
          <w:rFonts w:ascii="Tahoma" w:eastAsiaTheme="majorEastAsia" w:hAnsi="Tahoma" w:cs="Tahoma"/>
          <w:bCs/>
        </w:rPr>
        <w:t xml:space="preserve">zmianę wersji systemu operacyjnego na niższą (tzw. </w:t>
      </w:r>
      <w:proofErr w:type="spellStart"/>
      <w:r w:rsidRPr="005B21E3">
        <w:rPr>
          <w:rFonts w:ascii="Tahoma" w:eastAsiaTheme="majorEastAsia" w:hAnsi="Tahoma" w:cs="Tahoma"/>
          <w:bCs/>
        </w:rPr>
        <w:t>downgrade</w:t>
      </w:r>
      <w:proofErr w:type="spellEnd"/>
      <w:r w:rsidRPr="005B21E3">
        <w:rPr>
          <w:rFonts w:ascii="Tahoma" w:eastAsiaTheme="majorEastAsia" w:hAnsi="Tahoma" w:cs="Tahoma"/>
          <w:bCs/>
        </w:rPr>
        <w:t>) w celu wykorzystania posiadanych licencji dostępowych Windows Server CAL dla wersji systemu serwerowego Microsoft Windows Server 2012 z zachowaniem wsparcia technicznego,</w:t>
      </w:r>
    </w:p>
    <w:p w:rsidR="003D24E3" w:rsidRPr="005B21E3" w:rsidRDefault="003D24E3" w:rsidP="0044167A">
      <w:pPr>
        <w:pStyle w:val="Akapitzlist"/>
        <w:numPr>
          <w:ilvl w:val="0"/>
          <w:numId w:val="29"/>
        </w:numPr>
        <w:jc w:val="both"/>
        <w:rPr>
          <w:rFonts w:ascii="Tahoma" w:eastAsiaTheme="majorEastAsia" w:hAnsi="Tahoma" w:cs="Tahoma"/>
          <w:b/>
          <w:bCs/>
        </w:rPr>
      </w:pPr>
      <w:r w:rsidRPr="005B21E3">
        <w:rPr>
          <w:rFonts w:ascii="Tahoma" w:eastAsiaTheme="majorEastAsia" w:hAnsi="Tahoma" w:cs="Tahoma"/>
          <w:bCs/>
        </w:rPr>
        <w:t>przeniesienie licencji systemu operacyjnego na inny fizyczny serwer.</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3D24E3" w:rsidRPr="005B21E3" w:rsidTr="005B21E3">
        <w:trPr>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3D24E3" w:rsidRPr="005B21E3" w:rsidRDefault="003D24E3" w:rsidP="005B21E3">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3D24E3" w:rsidRPr="005B21E3" w:rsidRDefault="003D24E3" w:rsidP="005B21E3">
            <w:pPr>
              <w:jc w:val="both"/>
              <w:rPr>
                <w:rFonts w:ascii="Tahoma" w:eastAsiaTheme="majorEastAsia" w:hAnsi="Tahoma" w:cs="Tahoma"/>
                <w:bCs/>
              </w:rPr>
            </w:pPr>
            <w:r w:rsidRPr="005B21E3">
              <w:rPr>
                <w:rFonts w:ascii="Tahoma" w:hAnsi="Tahoma" w:cs="Tahoma"/>
                <w:b/>
                <w:bCs/>
              </w:rPr>
              <w:t>Warunek równoważności</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Współpraca z procesorami o architekturze x86-64.</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Instalacja i użytkowanie aplikacji 32-bit. i 64-bit. na dostarczonym systemie operacyjnym.</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Obsługa 64 procesorów fizycznych oraz co najmniej 64 procesorów logicznych (wirtualnych).</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Pojemność obsługiwanej pamięci RAM w ramach jednej instancji systemu operacyjnego - co najmniej 4TB.</w:t>
            </w:r>
          </w:p>
        </w:tc>
      </w:tr>
      <w:tr w:rsidR="00367A82"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67A82" w:rsidRPr="005B21E3" w:rsidRDefault="00367A82"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367A82" w:rsidRPr="005B21E3" w:rsidRDefault="00367A82" w:rsidP="005B21E3">
            <w:pPr>
              <w:ind w:left="11"/>
              <w:jc w:val="both"/>
              <w:rPr>
                <w:rFonts w:ascii="Tahoma" w:eastAsiaTheme="majorEastAsia" w:hAnsi="Tahoma" w:cs="Tahoma"/>
                <w:bCs/>
              </w:rPr>
            </w:pPr>
            <w:r w:rsidRPr="005B21E3">
              <w:rPr>
                <w:rFonts w:ascii="Tahoma" w:eastAsiaTheme="majorEastAsia" w:hAnsi="Tahoma" w:cs="Tahoma"/>
                <w:bCs/>
              </w:rPr>
              <w:t>Zawarta możliwość uruchamiania nieograniczonej wirtualnych instancji systemu operacyjnego.</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Obsługa dostępu wielościeżkowego do zasobów LAN poprzez kontrolery Gigabit Ethernet, w trybie równoważenia obciążenia łącza (</w:t>
            </w:r>
            <w:proofErr w:type="spellStart"/>
            <w:r w:rsidRPr="005B21E3">
              <w:rPr>
                <w:rFonts w:ascii="Tahoma" w:eastAsiaTheme="majorEastAsia" w:hAnsi="Tahoma" w:cs="Tahoma"/>
                <w:bCs/>
              </w:rPr>
              <w:t>load</w:t>
            </w:r>
            <w:proofErr w:type="spellEnd"/>
            <w:r w:rsidRPr="005B21E3">
              <w:rPr>
                <w:rFonts w:ascii="Tahoma" w:eastAsiaTheme="majorEastAsia" w:hAnsi="Tahoma" w:cs="Tahoma"/>
                <w:bCs/>
              </w:rPr>
              <w:t xml:space="preserve"> </w:t>
            </w:r>
            <w:proofErr w:type="spellStart"/>
            <w:r w:rsidRPr="005B21E3">
              <w:rPr>
                <w:rFonts w:ascii="Tahoma" w:eastAsiaTheme="majorEastAsia" w:hAnsi="Tahoma" w:cs="Tahoma"/>
                <w:bCs/>
              </w:rPr>
              <w:t>balancing</w:t>
            </w:r>
            <w:proofErr w:type="spellEnd"/>
            <w:r w:rsidRPr="005B21E3">
              <w:rPr>
                <w:rFonts w:ascii="Tahoma" w:eastAsiaTheme="majorEastAsia" w:hAnsi="Tahoma" w:cs="Tahoma"/>
                <w:bCs/>
              </w:rPr>
              <w:t>) i redundancji łącza (</w:t>
            </w:r>
            <w:proofErr w:type="spellStart"/>
            <w:r w:rsidRPr="005B21E3">
              <w:rPr>
                <w:rFonts w:ascii="Tahoma" w:eastAsiaTheme="majorEastAsia" w:hAnsi="Tahoma" w:cs="Tahoma"/>
                <w:bCs/>
              </w:rPr>
              <w:t>failover</w:t>
            </w:r>
            <w:proofErr w:type="spellEnd"/>
            <w:r w:rsidRPr="005B21E3">
              <w:rPr>
                <w:rFonts w:ascii="Tahoma" w:eastAsiaTheme="majorEastAsia" w:hAnsi="Tahoma" w:cs="Tahoma"/>
                <w:bCs/>
              </w:rPr>
              <w:t>) – natywnie lub z wykorzystaniem sterowników producenta sprzętu.</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Praca w roli klienta domeny Microsoft Active Directory.</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kontrolera domeny Microsoft Active Directory na poziomie Microsoft Windows Server 2012.</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 xml:space="preserve">Zawarta możliwość uruchomienia roli serwera DHCP, w tym funkcji </w:t>
            </w:r>
            <w:proofErr w:type="spellStart"/>
            <w:r w:rsidRPr="005B21E3">
              <w:rPr>
                <w:rFonts w:ascii="Tahoma" w:eastAsiaTheme="majorEastAsia" w:hAnsi="Tahoma" w:cs="Tahoma"/>
                <w:bCs/>
              </w:rPr>
              <w:t>klastrowania</w:t>
            </w:r>
            <w:proofErr w:type="spellEnd"/>
            <w:r w:rsidRPr="005B21E3">
              <w:rPr>
                <w:rFonts w:ascii="Tahoma" w:eastAsiaTheme="majorEastAsia" w:hAnsi="Tahoma" w:cs="Tahoma"/>
                <w:bCs/>
              </w:rPr>
              <w:t xml:space="preserve"> serwera DHCP (możliwość uruchomienia dwóch serwerów DHCP operujących jednocześnie na tej samej puli oferowanych adresów IP).</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DNS.</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klienta i serwera czasu (NTP).</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plików z uwierzytelnieniem i autoryzacją dostępu w domenie Microsoft Active Directory.</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wydruku z uwierzytelnieniem i autoryzacją dostępu w domenie Microsoft Active Directory.</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Zawarta możliwość uruchomienia roli serwera stron WWW.</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 xml:space="preserve">W ramach dostarczonej licencji zawarte prawo do użytkowania i dostęp do oprogramowania oferowanego przez producenta systemu operacyjnego umożliwiającego </w:t>
            </w:r>
            <w:proofErr w:type="spellStart"/>
            <w:r w:rsidRPr="005B21E3">
              <w:rPr>
                <w:rFonts w:ascii="Tahoma" w:eastAsiaTheme="majorEastAsia" w:hAnsi="Tahoma" w:cs="Tahoma"/>
                <w:bCs/>
              </w:rPr>
              <w:t>wirtualizowanie</w:t>
            </w:r>
            <w:proofErr w:type="spellEnd"/>
            <w:r w:rsidRPr="005B21E3">
              <w:rPr>
                <w:rFonts w:ascii="Tahoma" w:eastAsiaTheme="majorEastAsia" w:hAnsi="Tahoma" w:cs="Tahoma"/>
                <w:bCs/>
              </w:rPr>
              <w:t xml:space="preserve"> zasobów sprzętowych serwera.</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 ramach dostarczonej licencji zawarte prawo do instalacji i użytkowania systemu operacyjnego na co najmniej dwóch maszynach wirtualnych.</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 ramach dostarczonej licencji zawarte prawo do pobierania poprawek systemu operacyjnego.</w:t>
            </w:r>
          </w:p>
        </w:tc>
      </w:tr>
      <w:tr w:rsidR="003D24E3" w:rsidRPr="005B21E3" w:rsidTr="005B21E3">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3D24E3" w:rsidRPr="005B21E3" w:rsidRDefault="003D24E3" w:rsidP="0044167A">
            <w:pPr>
              <w:pStyle w:val="Akapitzlist"/>
              <w:numPr>
                <w:ilvl w:val="0"/>
                <w:numId w:val="30"/>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3D24E3" w:rsidRPr="005B21E3" w:rsidRDefault="003D24E3" w:rsidP="005B21E3">
            <w:pPr>
              <w:ind w:left="11"/>
              <w:jc w:val="both"/>
              <w:rPr>
                <w:rFonts w:ascii="Tahoma" w:eastAsiaTheme="majorEastAsia" w:hAnsi="Tahoma" w:cs="Tahoma"/>
                <w:bCs/>
              </w:rPr>
            </w:pPr>
            <w:r w:rsidRPr="005B21E3">
              <w:rPr>
                <w:rFonts w:ascii="Tahoma" w:eastAsiaTheme="majorEastAsia" w:hAnsi="Tahoma" w:cs="Tahoma"/>
                <w:bCs/>
              </w:rPr>
              <w:t>Wszystkie wymienione w tabeli parametry, role, funkcje, itp. systemu operacyjnego objęte są dostarczoną licencją (licencjami) i zawarte w dostarczonej wersji oprogramowania (nie wymagają ponoszenia przez Zamawiającego dodatkowych kosztów).</w:t>
            </w:r>
          </w:p>
        </w:tc>
      </w:tr>
    </w:tbl>
    <w:p w:rsidR="003D24E3" w:rsidRPr="005B21E3" w:rsidRDefault="003D24E3" w:rsidP="003D24E3">
      <w:pPr>
        <w:ind w:left="11"/>
        <w:jc w:val="both"/>
        <w:rPr>
          <w:rFonts w:ascii="Tahoma" w:eastAsiaTheme="majorEastAsia" w:hAnsi="Tahoma" w:cs="Tahoma"/>
          <w:b/>
          <w:bCs/>
        </w:rPr>
      </w:pPr>
    </w:p>
    <w:p w:rsidR="005B21E3" w:rsidRPr="005B21E3" w:rsidRDefault="005B21E3" w:rsidP="0044167A">
      <w:pPr>
        <w:pStyle w:val="Nagwek3"/>
        <w:numPr>
          <w:ilvl w:val="2"/>
          <w:numId w:val="1"/>
        </w:numPr>
        <w:rPr>
          <w:rFonts w:ascii="Tahoma" w:hAnsi="Tahoma" w:cs="Tahoma"/>
          <w:szCs w:val="22"/>
        </w:rPr>
      </w:pPr>
      <w:r w:rsidRPr="005B21E3">
        <w:rPr>
          <w:rFonts w:ascii="Tahoma" w:hAnsi="Tahoma" w:cs="Tahoma"/>
          <w:szCs w:val="22"/>
        </w:rPr>
        <w:t>Licencja oprogramowania biurowego Microsoft Office Home &amp; Business 2016 w polskiej wersji językowej lub produkt równoważny:</w:t>
      </w:r>
    </w:p>
    <w:p w:rsidR="005B21E3" w:rsidRPr="005B21E3" w:rsidRDefault="005B21E3" w:rsidP="005B21E3">
      <w:pPr>
        <w:rPr>
          <w:rFonts w:ascii="Tahoma" w:hAnsi="Tahoma" w:cs="Tahoma"/>
        </w:rPr>
      </w:pPr>
      <w:r w:rsidRPr="005B21E3">
        <w:rPr>
          <w:rFonts w:ascii="Tahoma" w:hAnsi="Tahoma" w:cs="Tahoma"/>
          <w:b/>
        </w:rPr>
        <w:t>10 licencji</w:t>
      </w:r>
      <w:r w:rsidRPr="005B21E3">
        <w:rPr>
          <w:rFonts w:ascii="Tahoma" w:hAnsi="Tahoma" w:cs="Tahoma"/>
        </w:rPr>
        <w:t xml:space="preserve"> oprogramowania, na nośniku CD/DVD lub udostępnienie oprogramowania drogą elektroniczną poprzez dostęp do strony internetowej zawierającej dane oprogramowanie oraz dokument potwierdzający prawo do korzystania z programu na 10 stanowiskach roboczych. Licencja – bez ograniczeń czasowych.</w:t>
      </w:r>
    </w:p>
    <w:tbl>
      <w:tblPr>
        <w:tblStyle w:val="Tabela-Siatka"/>
        <w:tblW w:w="9351" w:type="dxa"/>
        <w:jc w:val="center"/>
        <w:tblLook w:val="04A0" w:firstRow="1" w:lastRow="0" w:firstColumn="1" w:lastColumn="0" w:noHBand="0" w:noVBand="1"/>
      </w:tblPr>
      <w:tblGrid>
        <w:gridCol w:w="568"/>
        <w:gridCol w:w="8783"/>
      </w:tblGrid>
      <w:tr w:rsidR="005B21E3" w:rsidRPr="005B21E3" w:rsidTr="005B21E3">
        <w:trPr>
          <w:trHeight w:val="484"/>
          <w:jc w:val="center"/>
        </w:trPr>
        <w:tc>
          <w:tcPr>
            <w:tcW w:w="568" w:type="dxa"/>
            <w:shd w:val="clear" w:color="auto" w:fill="BFBFBF" w:themeFill="background1" w:themeFillShade="BF"/>
            <w:vAlign w:val="center"/>
          </w:tcPr>
          <w:p w:rsidR="005B21E3" w:rsidRPr="005B21E3" w:rsidRDefault="005B21E3" w:rsidP="005B21E3">
            <w:pPr>
              <w:jc w:val="center"/>
              <w:rPr>
                <w:rFonts w:ascii="Tahoma" w:hAnsi="Tahoma" w:cs="Tahoma"/>
                <w:b/>
                <w:bCs/>
              </w:rPr>
            </w:pPr>
            <w:r w:rsidRPr="005B21E3">
              <w:rPr>
                <w:rFonts w:ascii="Tahoma" w:hAnsi="Tahoma" w:cs="Tahoma"/>
                <w:b/>
              </w:rPr>
              <w:t>Lp.</w:t>
            </w:r>
          </w:p>
        </w:tc>
        <w:tc>
          <w:tcPr>
            <w:tcW w:w="8783" w:type="dxa"/>
            <w:shd w:val="clear" w:color="auto" w:fill="BFBFBF" w:themeFill="background1" w:themeFillShade="BF"/>
            <w:vAlign w:val="center"/>
          </w:tcPr>
          <w:p w:rsidR="005B21E3" w:rsidRPr="005B21E3" w:rsidRDefault="005B21E3" w:rsidP="005B21E3">
            <w:pPr>
              <w:pStyle w:val="TableContents"/>
              <w:spacing w:line="276" w:lineRule="auto"/>
              <w:jc w:val="center"/>
              <w:rPr>
                <w:rFonts w:ascii="Tahoma" w:hAnsi="Tahoma"/>
                <w:b/>
                <w:bCs/>
                <w:sz w:val="22"/>
                <w:szCs w:val="22"/>
              </w:rPr>
            </w:pPr>
            <w:r w:rsidRPr="005B21E3">
              <w:rPr>
                <w:rFonts w:ascii="Tahoma" w:hAnsi="Tahoma"/>
                <w:b/>
                <w:bCs/>
                <w:sz w:val="22"/>
                <w:szCs w:val="22"/>
              </w:rPr>
              <w:t>Warunek równoważności</w:t>
            </w:r>
          </w:p>
        </w:tc>
      </w:tr>
      <w:tr w:rsidR="005B21E3" w:rsidRPr="005B21E3" w:rsidTr="005B21E3">
        <w:trPr>
          <w:jc w:val="center"/>
        </w:trPr>
        <w:tc>
          <w:tcPr>
            <w:tcW w:w="568" w:type="dxa"/>
            <w:shd w:val="clear" w:color="auto" w:fill="BFBFBF" w:themeFill="background1" w:themeFillShade="BF"/>
          </w:tcPr>
          <w:p w:rsidR="005B21E3" w:rsidRPr="005B21E3" w:rsidRDefault="005B21E3" w:rsidP="005B21E3">
            <w:pPr>
              <w:jc w:val="center"/>
              <w:rPr>
                <w:rFonts w:ascii="Tahoma" w:hAnsi="Tahoma" w:cs="Tahoma"/>
              </w:rPr>
            </w:pPr>
          </w:p>
        </w:tc>
        <w:tc>
          <w:tcPr>
            <w:tcW w:w="8783" w:type="dxa"/>
          </w:tcPr>
          <w:p w:rsidR="005B21E3" w:rsidRPr="005B21E3" w:rsidRDefault="005B21E3" w:rsidP="005B21E3">
            <w:pPr>
              <w:spacing w:line="360" w:lineRule="auto"/>
              <w:rPr>
                <w:rFonts w:ascii="Tahoma" w:hAnsi="Tahoma" w:cs="Tahoma"/>
              </w:rPr>
            </w:pPr>
            <w:r w:rsidRPr="005B21E3">
              <w:rPr>
                <w:rFonts w:ascii="Tahoma" w:hAnsi="Tahoma" w:cs="Tahoma"/>
              </w:rPr>
              <w:t>Pakiet oprogramowania musi spełniać następujące wymagania poprzez wbudowane mechanizmy, bez użycia dodatkowych aplikacji:</w:t>
            </w:r>
          </w:p>
        </w:tc>
      </w:tr>
      <w:tr w:rsidR="005B21E3" w:rsidRPr="005B21E3" w:rsidTr="005B21E3">
        <w:trPr>
          <w:trHeight w:val="3285"/>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Wymagania odnośnie interfejsu użytkownika: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Pełna polska wersja językowa interfejsu użytkownika z możliwością przełączania wersji językowej interfejsu na język angielski.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Prostota i intuicyjność obsługi, pozwalająca na pracę osobom nieposiadającym umiejętności technicznych.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5B21E3" w:rsidRPr="005B21E3" w:rsidTr="005B21E3">
        <w:trPr>
          <w:trHeight w:val="3067"/>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Oprogramowanie musi umożliwiać tworzenie i edycję dokumentów elektronicznych w ustalonym formacie, który spełnia następujące warunki: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Posiada kompletny i publicznie dostępny opis formatu,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Ma zdefiniowany układ informacji w postaci XML zgodnie z Tabelą B1 załącznika 2 Rozporządzenia w sprawie minimalnych wymagań dla systemów teleinformatycznych (Dz.U.05.212.1766),</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Umożliwia wykorzystanie schematów XML,</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Wspiera w swojej specyfikacji podpis elektroniczny zgodnie z Tabelą A.1.1 Załącznika 2 Rozporządzenia w sprawie minimalnych wymagań dla systemów teleinformatycznych (Dz. U. 05. 212. 1766).</w:t>
            </w:r>
          </w:p>
        </w:tc>
      </w:tr>
      <w:tr w:rsidR="005B21E3" w:rsidRPr="005B21E3" w:rsidTr="005B21E3">
        <w:trPr>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 xml:space="preserve">Oprogramowanie musi umożliwiać dostosowanie dokumentów i szablonów do potrzeb instytucji oraz udostępniać narzędzia umożliwiające dystrybucję odpowiednich szablonów do właściwych odbiorców. </w:t>
            </w:r>
          </w:p>
        </w:tc>
      </w:tr>
      <w:tr w:rsidR="005B21E3" w:rsidRPr="005B21E3" w:rsidTr="005B21E3">
        <w:trPr>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W skład oprogramowania muszą wchodzić narzędzia programistyczne umożliwiające automatyzację pracy i wymianę danych pomiędzy dokumentami i aplikacjami (język makropoleceń, język skryptowy).</w:t>
            </w:r>
          </w:p>
        </w:tc>
      </w:tr>
      <w:tr w:rsidR="005B21E3" w:rsidRPr="005B21E3" w:rsidTr="005B21E3">
        <w:trPr>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Do aplikacji musi być dostępna pełna dokumentacja w języku polskim.</w:t>
            </w:r>
          </w:p>
        </w:tc>
      </w:tr>
      <w:tr w:rsidR="005B21E3" w:rsidRPr="005B21E3" w:rsidTr="005B21E3">
        <w:trPr>
          <w:trHeight w:val="4028"/>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Pakiet zintegrowanych aplikacji biurowych musi zawierać: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Edytor tekstów;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Arkusz kalkulacyjny;</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przygotowywania i prowadzenia prezentacji;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tworzenia i wypełniania formularzy elektronicznych;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tworzenia drukowanych materiałów informacyjnych;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zarządzania informacją prywatną (pocztą elektroniczną, kalendarzem, kontaktami i zadaniami);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Narzędzie do tworzenia notatek przy pomocy klawiatury lub notatek odręcznych na ekranie urządzenia typu tablet PC z mechanizmem OCR.</w:t>
            </w:r>
          </w:p>
        </w:tc>
      </w:tr>
      <w:tr w:rsidR="005B21E3" w:rsidRPr="005B21E3" w:rsidTr="005B21E3">
        <w:trPr>
          <w:trHeight w:val="1842"/>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Edytor tekstów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Edycję i formatowanie tekstu w języku polskim wraz z obsługą języka polskiego w zakresie sprawdzania pisowni i poprawności gramatycznej oraz funkcjonalnością słownika wyrazów bliskoznacznych i autokorekty.</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Wstawianie oraz formatowanie tabel.</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Wstawianie oraz formatowanie obiektów graficznych.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Wstawianie wykresów i tabel z arkusza kalkulacyjnego (wliczając tabele przestawne).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Automatyczne numerowanie rozdziałów, punktów, akapitów, tabel i rysunków.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Automatyczne tworzenie spisów treści.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Formatowanie nagłówków i stopek stron.</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Sprawdzanie pisowni w języku polskim.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Śledzenie zmian wprowadzonych przez użytkowników.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Nagrywanie, tworzenie i edycję makr automatyzujących wykonywanie czynności.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Określenie układu strony (pionowa/pozioma).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Wydruk dokumentów.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Wykonywanie korespondencji seryjnej bazując na danych adresowych pochodzących z arkusza kalkulacyjnego i z narzędzia do zarządzania informacją prywatną.</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Pracę na dokumentach utworzonych przy pomocy Microsoft Word 2003, Microsoft Word 2007 i Microsoft Word 2010 lub Microsoft Word 2013 z zapewnieniem bezproblemowej konwersji wszystkich elementów i atrybutów dokumentu.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Zabezpieczenie dokumentów hasłem przed odczytem oraz przed wprowadzaniem modyfikacji.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5B21E3" w:rsidRPr="005B21E3" w:rsidTr="005B21E3">
        <w:trPr>
          <w:trHeight w:val="9668"/>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Arkusz kalkulacyjny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raportów tabelarycznych.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wykresów liniowych (wraz linią trendu), słupkowych, kołowych.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arkuszy kalkulacyjnych zawierających teksty, dane liczbowe oraz formuły przeprowadzające operacje matematyczne, logiczne, tekstowe, statystyczne oraz operacje na danych finansowych i na miarach czasu.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 xml:space="preserve">Tworzenie raportów z zewnętrznych źródeł danych (inne arkusze kalkulacyjne, bazy danych zgodne z ODBC, pliki tekstowe, pliki XML, </w:t>
            </w:r>
            <w:proofErr w:type="spellStart"/>
            <w:r w:rsidRPr="005B21E3">
              <w:rPr>
                <w:rFonts w:ascii="Tahoma" w:hAnsi="Tahoma" w:cs="Tahoma"/>
              </w:rPr>
              <w:t>webservice</w:t>
            </w:r>
            <w:proofErr w:type="spellEnd"/>
            <w:r w:rsidRPr="005B21E3">
              <w:rPr>
                <w:rFonts w:ascii="Tahoma" w:hAnsi="Tahoma" w:cs="Tahoma"/>
              </w:rPr>
              <w:t>).</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Obsługę kostek OLAP oraz tworzenie i edycję kwerend bazodanowych i webowych. Narzędzia wspomagające analizę statystyczną i finansową, analizę wariantową i rozwiązywanie problemów optymalizacyjnych.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raportów tabeli przestawnych umożliwiających dynamiczną zmianę wymiarów oraz wykresów bazujących na danych z tabeli przestawnych.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Wyszukiwanie i zamianę danych.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Wykonywanie analiz danych przy użyciu formatowania warunkowego.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Nazywanie komórek arkusza i odwoływanie się w formułach po takiej nazwie.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Nagrywanie, tworzenie i edycję makr automatyzujących wykonywanie czynności.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Formatowanie czasu, daty i wartości finansowych z polskim formatem.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Zapis wielu arkuszy kalkulacyjnych w jednym pliku.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Zachowanie pełnej zgodności z formatami plików utworzonych za pomocą oprogramowania Microsoft Excel 2003, Microsoft Excel 2007 oraz Microsoft Excel 2010 i 2013, z uwzględnieniem poprawnej realizacji użytych w nich funkcji specjalnych i makropoleceń.</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Zabezpieczenie dokumentów hasłem przed odczytem oraz przed wprowadzaniem modyfikacji.</w:t>
            </w:r>
          </w:p>
        </w:tc>
      </w:tr>
      <w:tr w:rsidR="005B21E3" w:rsidRPr="005B21E3" w:rsidTr="005B21E3">
        <w:trPr>
          <w:trHeight w:val="5244"/>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Narzędzie do przygotowywania i prowadzenia prezentacji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Przygotowywanie prezentacji multimedialnych, które będą prezentowane przy użyciu projektora multimedialnego.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Drukowanie w formacie umożliwiającym robienie notatek.</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Zapisanie w formie prezentacji tylko do odczytu.</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Nagrywanie narracji i dołączanie jej do prezentacji.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Opatrywanie slajdów notatkami dla prezentera.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Umieszczanie i formatowanie tekstów, obiektów graficznych, tabel, nagrań dźwiękowych i wideo.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Umieszczanie tabel i wykresów pochodzących z arkusza kalkulacyjnego.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Odświeżenie wykresu znajdującego się w prezentacji po zmianie danych w źródłowym arkuszu kalkulacyjnym.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tworzenia animacji obiektów i całych slajdów.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Prowadzenie prezentacji w trybie prezentera, gdzie slajdy są widoczne na jednym monitorze lub projektorze, a na drugim widoczne są slajdy i notatki prezentera.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Pełna zgodność z formatami plików utworzonych za pomocą oprogramowania Microsoft PowerPoint 2003, Microsoft PowerPoint 2007 oraz Microsoft PowerPoint 2010 i 2013.</w:t>
            </w:r>
          </w:p>
        </w:tc>
      </w:tr>
      <w:tr w:rsidR="005B21E3" w:rsidRPr="005B21E3" w:rsidTr="005B21E3">
        <w:trPr>
          <w:trHeight w:val="6445"/>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Narzędzie do tworzenia i wypełniania formularzy elektronicznych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Przygotowanie formularza elektronicznego i zapisanie go w pliku w formacie XML bez konieczności programowania.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Umieszczenie w formularzu elektronicznym pól tekstowych, wyboru, daty, list rozwijanych, tabel zawierających powtarzające się zestawy pól do wypełnienia oraz przycisków.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Utworzenie w obrębie jednego formularza z jednym zestawem danych kilku widoków z różnym zestawem elementów, dostępnych dla różnych użytkowników.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Pobieranie danych do formularza elektronicznego z plików XML lub z lokalnej bazy danych wchodzącej w skład pakietu narzędzi biurowych.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pobierania danych z platformy do pracy grupowej.</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Przesłanie danych przy użyciu usługi Web (tzw. web service).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Wypełnianie formularza elektronicznego i zapisywanie powstałego w ten sposób dokumentu w pliku w formacie XML.</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Podpis elektroniczny formularza elektronicznego i dokumentu powstałego z jego wypełnienia.</w:t>
            </w:r>
          </w:p>
        </w:tc>
      </w:tr>
      <w:tr w:rsidR="005B21E3" w:rsidRPr="005B21E3" w:rsidTr="005B21E3">
        <w:trPr>
          <w:trHeight w:val="4110"/>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Narzędzie do tworzenia drukowanych materiałów informacyjnych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i edycję drukowanych materiałów informacyjnych.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materiałów przy użyciu dostępnych z narzędziem szablonów: broszur, biuletynów, katalogów.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Edycję poszczególnych stron materiałów.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Podział treści na kolumny.</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Umieszczanie elementów graficznych.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Wykorzystanie mechanizmu korespondencji seryjnej</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Płynne przesuwanie elementów po całej stronie publikacji.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Eksport publikacji do formatu PDF oraz TIFF.</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Wydruk publikacji.</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przygotowywania materiałów do wydruku w standardzie CMYK.</w:t>
            </w:r>
          </w:p>
        </w:tc>
      </w:tr>
      <w:tr w:rsidR="005B21E3" w:rsidRPr="005B21E3" w:rsidTr="005B21E3">
        <w:trPr>
          <w:trHeight w:val="7262"/>
          <w:jc w:val="center"/>
        </w:trPr>
        <w:tc>
          <w:tcPr>
            <w:tcW w:w="568" w:type="dxa"/>
            <w:shd w:val="clear" w:color="auto" w:fill="BFBFBF" w:themeFill="background1" w:themeFillShade="BF"/>
          </w:tcPr>
          <w:p w:rsidR="005B21E3" w:rsidRPr="005B21E3" w:rsidRDefault="005B21E3" w:rsidP="0044167A">
            <w:pPr>
              <w:pStyle w:val="Akapitzlist"/>
              <w:numPr>
                <w:ilvl w:val="0"/>
                <w:numId w:val="28"/>
              </w:numPr>
              <w:spacing w:line="360" w:lineRule="auto"/>
              <w:jc w:val="center"/>
              <w:rPr>
                <w:rFonts w:ascii="Tahoma" w:hAnsi="Tahoma" w:cs="Tahoma"/>
              </w:rPr>
            </w:pPr>
          </w:p>
        </w:tc>
        <w:tc>
          <w:tcPr>
            <w:tcW w:w="8783" w:type="dxa"/>
          </w:tcPr>
          <w:p w:rsidR="005B21E3" w:rsidRPr="005B21E3" w:rsidRDefault="005B21E3" w:rsidP="005B21E3">
            <w:pPr>
              <w:spacing w:line="360" w:lineRule="auto"/>
              <w:ind w:left="142"/>
              <w:rPr>
                <w:rFonts w:ascii="Tahoma" w:hAnsi="Tahoma" w:cs="Tahoma"/>
              </w:rPr>
            </w:pPr>
            <w:r w:rsidRPr="005B21E3">
              <w:rPr>
                <w:rFonts w:ascii="Tahoma" w:hAnsi="Tahoma" w:cs="Tahoma"/>
              </w:rPr>
              <w:t>Narzędzie do zarządzania informacją prywatną (pocztą elektroniczną, kalendarzem, kontaktami i zadaniami) musi umożliwiać:</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Pobieranie i wysyłanie poczty elektronicznej z serwera pocztowego.</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Filtrowanie niechcianej poczty elektronicznej (SPAM) oraz określanie listy zablokowanych i bezpiecznych nadawców.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katalogów, pozwalających katalogować pocztę elektroniczną.</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Automatyczne grupowanie poczty o tym samym tytule.</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Tworzenie reguł przenoszących automatycznie nową pocztę elektroniczną do określonych katalogów bazując na słowach zawartych w tytule, adresie nadawcy i odbiorcy.</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Oflagowanie poczty elektronicznej z określeniem terminu przypomnienia.</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Zarządzanie kalendarzem.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Udostępnianie kalendarza innym użytkownikom.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Przeglądanie kalendarza innych użytkowników.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Zapraszanie uczestników na spotkanie, co po ich akceptacji powoduje automatyczne wprowadzenie spotkania w ich kalendarzach.</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Zarządzanie listą zadań.</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Zlecanie zadań innym użytkownikom.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Zarządzanie listą kontaktów.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Udostępnianie listy kontaktów innym użytkownikom.</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Przeglądanie listy kontaktów innych użytkowników.</w:t>
            </w:r>
          </w:p>
          <w:p w:rsidR="005B21E3" w:rsidRPr="005B21E3" w:rsidRDefault="005B21E3" w:rsidP="0044167A">
            <w:pPr>
              <w:pStyle w:val="Akapitzlist"/>
              <w:numPr>
                <w:ilvl w:val="1"/>
                <w:numId w:val="28"/>
              </w:numPr>
              <w:spacing w:line="360" w:lineRule="auto"/>
              <w:ind w:left="737" w:hanging="425"/>
              <w:rPr>
                <w:rFonts w:ascii="Tahoma" w:hAnsi="Tahoma" w:cs="Tahoma"/>
              </w:rPr>
            </w:pPr>
            <w:r w:rsidRPr="005B21E3">
              <w:rPr>
                <w:rFonts w:ascii="Tahoma" w:hAnsi="Tahoma" w:cs="Tahoma"/>
              </w:rPr>
              <w:t>Możliwość przesyłania kontaktów innym użytkowników.</w:t>
            </w:r>
          </w:p>
        </w:tc>
      </w:tr>
    </w:tbl>
    <w:p w:rsidR="005B21E3" w:rsidRPr="005B21E3" w:rsidRDefault="005B21E3" w:rsidP="005B21E3">
      <w:pPr>
        <w:rPr>
          <w:rFonts w:ascii="Tahoma" w:hAnsi="Tahoma" w:cs="Tahoma"/>
        </w:rPr>
      </w:pPr>
    </w:p>
    <w:p w:rsidR="00A26792" w:rsidRPr="005B21E3" w:rsidRDefault="00A26792" w:rsidP="00A26792">
      <w:pPr>
        <w:pStyle w:val="Nagwek2"/>
      </w:pPr>
      <w:r w:rsidRPr="005B21E3">
        <w:t>Wykaz oprogramowania</w:t>
      </w:r>
      <w:r>
        <w:t xml:space="preserve"> dla Części II.</w:t>
      </w:r>
    </w:p>
    <w:p w:rsidR="005B21E3" w:rsidRPr="005B21E3" w:rsidRDefault="005B21E3" w:rsidP="0044167A">
      <w:pPr>
        <w:pStyle w:val="Nagwek3"/>
        <w:numPr>
          <w:ilvl w:val="2"/>
          <w:numId w:val="1"/>
        </w:numPr>
        <w:rPr>
          <w:rFonts w:ascii="Tahoma" w:hAnsi="Tahoma" w:cs="Tahoma"/>
          <w:szCs w:val="22"/>
        </w:rPr>
      </w:pPr>
      <w:r w:rsidRPr="005B21E3">
        <w:rPr>
          <w:rFonts w:ascii="Tahoma" w:hAnsi="Tahoma" w:cs="Tahoma"/>
          <w:szCs w:val="22"/>
        </w:rPr>
        <w:t xml:space="preserve">Licencja oprogramowania backupu </w:t>
      </w:r>
      <w:proofErr w:type="spellStart"/>
      <w:r w:rsidRPr="005B21E3">
        <w:rPr>
          <w:rFonts w:ascii="Tahoma" w:hAnsi="Tahoma" w:cs="Tahoma"/>
          <w:szCs w:val="22"/>
        </w:rPr>
        <w:t>Veeam</w:t>
      </w:r>
      <w:proofErr w:type="spellEnd"/>
      <w:r w:rsidRPr="005B21E3">
        <w:rPr>
          <w:rFonts w:ascii="Tahoma" w:hAnsi="Tahoma" w:cs="Tahoma"/>
          <w:szCs w:val="22"/>
        </w:rPr>
        <w:t xml:space="preserve"> Agent for Windows lub produkt równoważny: </w:t>
      </w:r>
    </w:p>
    <w:p w:rsidR="005B21E3" w:rsidRDefault="005B21E3" w:rsidP="005B21E3">
      <w:pPr>
        <w:rPr>
          <w:rFonts w:ascii="Tahoma" w:hAnsi="Tahoma" w:cs="Tahoma"/>
        </w:rPr>
      </w:pPr>
      <w:r w:rsidRPr="005B21E3">
        <w:rPr>
          <w:rFonts w:ascii="Tahoma" w:hAnsi="Tahoma" w:cs="Tahoma"/>
          <w:b/>
        </w:rPr>
        <w:t>1 licencja dla 170 stanowisk</w:t>
      </w:r>
      <w:r>
        <w:rPr>
          <w:rFonts w:ascii="Tahoma" w:hAnsi="Tahoma" w:cs="Tahoma"/>
          <w:b/>
        </w:rPr>
        <w:t xml:space="preserve"> </w:t>
      </w:r>
      <w:r>
        <w:rPr>
          <w:rFonts w:ascii="Tahoma" w:hAnsi="Tahoma" w:cs="Tahoma"/>
        </w:rPr>
        <w:t>na kopie zapasowe stacji roboczych (</w:t>
      </w:r>
      <w:r w:rsidR="00E0752E">
        <w:rPr>
          <w:rFonts w:ascii="Tahoma" w:hAnsi="Tahoma" w:cs="Tahoma"/>
        </w:rPr>
        <w:t>wersja</w:t>
      </w:r>
      <w:r>
        <w:rPr>
          <w:rFonts w:ascii="Tahoma" w:hAnsi="Tahoma" w:cs="Tahoma"/>
        </w:rPr>
        <w:t xml:space="preserve"> </w:t>
      </w:r>
      <w:r w:rsidR="00E0752E">
        <w:rPr>
          <w:rFonts w:ascii="Tahoma" w:hAnsi="Tahoma" w:cs="Tahoma"/>
        </w:rPr>
        <w:t>W</w:t>
      </w:r>
      <w:r>
        <w:rPr>
          <w:rFonts w:ascii="Tahoma" w:hAnsi="Tahoma" w:cs="Tahoma"/>
        </w:rPr>
        <w:t>orkstation) z zainstalowanym systeme</w:t>
      </w:r>
      <w:r w:rsidR="009851CA">
        <w:rPr>
          <w:rFonts w:ascii="Tahoma" w:hAnsi="Tahoma" w:cs="Tahoma"/>
        </w:rPr>
        <w:t>m operacyjnym Microsoft Windows od wersji Windows 7 SP1.</w:t>
      </w:r>
    </w:p>
    <w:p w:rsidR="00E0752E" w:rsidRDefault="00E0752E" w:rsidP="005B21E3">
      <w:pPr>
        <w:rPr>
          <w:rFonts w:ascii="Tahoma" w:hAnsi="Tahoma" w:cs="Tahoma"/>
        </w:rPr>
      </w:pPr>
      <w:r>
        <w:rPr>
          <w:rFonts w:ascii="Tahoma" w:hAnsi="Tahoma" w:cs="Tahoma"/>
        </w:rPr>
        <w:t xml:space="preserve">Licencja </w:t>
      </w:r>
      <w:r w:rsidR="00B65598">
        <w:rPr>
          <w:rFonts w:ascii="Tahoma" w:hAnsi="Tahoma" w:cs="Tahoma"/>
        </w:rPr>
        <w:t>ważna minimum przez 36 miesięcy.</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B65598" w:rsidRPr="005B21E3" w:rsidTr="00E9321B">
        <w:trPr>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B65598" w:rsidRPr="005B21E3" w:rsidRDefault="00B65598" w:rsidP="00E9321B">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B65598" w:rsidRPr="005B21E3" w:rsidRDefault="00B65598" w:rsidP="00E9321B">
            <w:pPr>
              <w:jc w:val="both"/>
              <w:rPr>
                <w:rFonts w:ascii="Tahoma" w:eastAsiaTheme="majorEastAsia" w:hAnsi="Tahoma" w:cs="Tahoma"/>
                <w:bCs/>
              </w:rPr>
            </w:pPr>
            <w:r w:rsidRPr="005B21E3">
              <w:rPr>
                <w:rFonts w:ascii="Tahoma" w:hAnsi="Tahoma" w:cs="Tahoma"/>
                <w:b/>
                <w:bCs/>
              </w:rPr>
              <w:t>Warunek równoważności</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B65598" w:rsidP="00E9321B">
            <w:pPr>
              <w:ind w:left="11"/>
              <w:jc w:val="both"/>
              <w:rPr>
                <w:rFonts w:ascii="Tahoma" w:eastAsiaTheme="majorEastAsia" w:hAnsi="Tahoma" w:cs="Tahoma"/>
                <w:bCs/>
              </w:rPr>
            </w:pPr>
            <w:r>
              <w:rPr>
                <w:rFonts w:ascii="Tahoma" w:eastAsiaTheme="majorEastAsia" w:hAnsi="Tahoma" w:cs="Tahoma"/>
                <w:bCs/>
              </w:rPr>
              <w:t>Narzędzie pozwalające na wykonanie kopii zapasowej:</w:t>
            </w:r>
          </w:p>
          <w:p w:rsidR="00B65598" w:rsidRDefault="00B65598" w:rsidP="0044167A">
            <w:pPr>
              <w:pStyle w:val="Akapitzlist"/>
              <w:numPr>
                <w:ilvl w:val="0"/>
                <w:numId w:val="31"/>
              </w:numPr>
              <w:jc w:val="both"/>
              <w:rPr>
                <w:rFonts w:ascii="Tahoma" w:eastAsiaTheme="majorEastAsia" w:hAnsi="Tahoma" w:cs="Tahoma"/>
                <w:bCs/>
              </w:rPr>
            </w:pPr>
            <w:r>
              <w:rPr>
                <w:rFonts w:ascii="Tahoma" w:eastAsiaTheme="majorEastAsia" w:hAnsi="Tahoma" w:cs="Tahoma"/>
                <w:bCs/>
              </w:rPr>
              <w:t>całego komputera,</w:t>
            </w:r>
          </w:p>
          <w:p w:rsidR="00B65598" w:rsidRDefault="00B65598" w:rsidP="0044167A">
            <w:pPr>
              <w:pStyle w:val="Akapitzlist"/>
              <w:numPr>
                <w:ilvl w:val="0"/>
                <w:numId w:val="31"/>
              </w:numPr>
              <w:jc w:val="both"/>
              <w:rPr>
                <w:rFonts w:ascii="Tahoma" w:eastAsiaTheme="majorEastAsia" w:hAnsi="Tahoma" w:cs="Tahoma"/>
                <w:bCs/>
              </w:rPr>
            </w:pPr>
            <w:bookmarkStart w:id="14" w:name="OLE_LINK3"/>
            <w:bookmarkStart w:id="15" w:name="OLE_LINK4"/>
            <w:r>
              <w:rPr>
                <w:rFonts w:ascii="Tahoma" w:eastAsiaTheme="majorEastAsia" w:hAnsi="Tahoma" w:cs="Tahoma"/>
                <w:bCs/>
              </w:rPr>
              <w:t>stanu systemu,</w:t>
            </w:r>
          </w:p>
          <w:bookmarkEnd w:id="14"/>
          <w:bookmarkEnd w:id="15"/>
          <w:p w:rsidR="00B65598" w:rsidRDefault="00B65598" w:rsidP="0044167A">
            <w:pPr>
              <w:pStyle w:val="Akapitzlist"/>
              <w:numPr>
                <w:ilvl w:val="0"/>
                <w:numId w:val="31"/>
              </w:numPr>
              <w:jc w:val="both"/>
              <w:rPr>
                <w:rFonts w:ascii="Tahoma" w:eastAsiaTheme="majorEastAsia" w:hAnsi="Tahoma" w:cs="Tahoma"/>
                <w:bCs/>
              </w:rPr>
            </w:pPr>
            <w:r>
              <w:rPr>
                <w:rFonts w:ascii="Tahoma" w:eastAsiaTheme="majorEastAsia" w:hAnsi="Tahoma" w:cs="Tahoma"/>
                <w:bCs/>
              </w:rPr>
              <w:t>poziomu woluminów,</w:t>
            </w:r>
          </w:p>
          <w:p w:rsidR="00B65598" w:rsidRPr="00B65598" w:rsidRDefault="00B65598" w:rsidP="0044167A">
            <w:pPr>
              <w:pStyle w:val="Akapitzlist"/>
              <w:numPr>
                <w:ilvl w:val="0"/>
                <w:numId w:val="31"/>
              </w:numPr>
              <w:jc w:val="both"/>
              <w:rPr>
                <w:rFonts w:ascii="Tahoma" w:eastAsiaTheme="majorEastAsia" w:hAnsi="Tahoma" w:cs="Tahoma"/>
                <w:bCs/>
              </w:rPr>
            </w:pPr>
            <w:r>
              <w:rPr>
                <w:rFonts w:ascii="Tahoma" w:eastAsiaTheme="majorEastAsia" w:hAnsi="Tahoma" w:cs="Tahoma"/>
                <w:bCs/>
              </w:rPr>
              <w:t>poziomu plików.</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B65598" w:rsidP="00E9321B">
            <w:pPr>
              <w:ind w:left="11"/>
              <w:jc w:val="both"/>
              <w:rPr>
                <w:rFonts w:ascii="Tahoma" w:eastAsiaTheme="majorEastAsia" w:hAnsi="Tahoma" w:cs="Tahoma"/>
                <w:bCs/>
              </w:rPr>
            </w:pPr>
            <w:r>
              <w:rPr>
                <w:rFonts w:ascii="Tahoma" w:eastAsiaTheme="majorEastAsia" w:hAnsi="Tahoma" w:cs="Tahoma"/>
                <w:bCs/>
              </w:rPr>
              <w:t xml:space="preserve">Narzędzie pozwalające na odzyskiwanie na komputer bez systemu operacyjnego (tzw. </w:t>
            </w:r>
            <w:proofErr w:type="spellStart"/>
            <w:r>
              <w:rPr>
                <w:rFonts w:ascii="Tahoma" w:eastAsiaTheme="majorEastAsia" w:hAnsi="Tahoma" w:cs="Tahoma"/>
                <w:bCs/>
              </w:rPr>
              <w:t>bare</w:t>
            </w:r>
            <w:proofErr w:type="spellEnd"/>
            <w:r>
              <w:rPr>
                <w:rFonts w:ascii="Tahoma" w:eastAsiaTheme="majorEastAsia" w:hAnsi="Tahoma" w:cs="Tahoma"/>
                <w:bCs/>
              </w:rPr>
              <w:t xml:space="preserve"> metal):</w:t>
            </w:r>
          </w:p>
          <w:p w:rsidR="00B65598" w:rsidRDefault="00B65598" w:rsidP="0044167A">
            <w:pPr>
              <w:pStyle w:val="Akapitzlist"/>
              <w:numPr>
                <w:ilvl w:val="0"/>
                <w:numId w:val="32"/>
              </w:numPr>
              <w:jc w:val="both"/>
              <w:rPr>
                <w:rFonts w:ascii="Tahoma" w:eastAsiaTheme="majorEastAsia" w:hAnsi="Tahoma" w:cs="Tahoma"/>
                <w:bCs/>
              </w:rPr>
            </w:pPr>
            <w:r>
              <w:rPr>
                <w:rFonts w:ascii="Tahoma" w:eastAsiaTheme="majorEastAsia" w:hAnsi="Tahoma" w:cs="Tahoma"/>
                <w:bCs/>
              </w:rPr>
              <w:t>Przywracanie na komputer o innej konfiguracji sprzętowej.</w:t>
            </w:r>
          </w:p>
          <w:p w:rsidR="00B65598" w:rsidRPr="00B65598" w:rsidRDefault="00B65598" w:rsidP="0044167A">
            <w:pPr>
              <w:pStyle w:val="Akapitzlist"/>
              <w:numPr>
                <w:ilvl w:val="0"/>
                <w:numId w:val="32"/>
              </w:numPr>
              <w:jc w:val="both"/>
              <w:rPr>
                <w:rFonts w:ascii="Tahoma" w:eastAsiaTheme="majorEastAsia" w:hAnsi="Tahoma" w:cs="Tahoma"/>
                <w:bCs/>
              </w:rPr>
            </w:pPr>
            <w:r>
              <w:rPr>
                <w:rFonts w:ascii="Tahoma" w:eastAsiaTheme="majorEastAsia" w:hAnsi="Tahoma" w:cs="Tahoma"/>
                <w:bCs/>
              </w:rPr>
              <w:t>Przywracanie na mniejszy lub większy dysk.</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B65598" w:rsidP="00E9321B">
            <w:pPr>
              <w:ind w:left="11"/>
              <w:jc w:val="both"/>
              <w:rPr>
                <w:rFonts w:ascii="Tahoma" w:eastAsiaTheme="majorEastAsia" w:hAnsi="Tahoma" w:cs="Tahoma"/>
                <w:bCs/>
              </w:rPr>
            </w:pPr>
            <w:r>
              <w:rPr>
                <w:rFonts w:ascii="Tahoma" w:eastAsiaTheme="majorEastAsia" w:hAnsi="Tahoma" w:cs="Tahoma"/>
                <w:bCs/>
              </w:rPr>
              <w:t>Narzędzie pozwalające na odzyskiwanie na poziomie:</w:t>
            </w:r>
          </w:p>
          <w:p w:rsidR="00B65598" w:rsidRDefault="00B65598" w:rsidP="0044167A">
            <w:pPr>
              <w:pStyle w:val="Akapitzlist"/>
              <w:numPr>
                <w:ilvl w:val="0"/>
                <w:numId w:val="33"/>
              </w:numPr>
              <w:jc w:val="both"/>
              <w:rPr>
                <w:rFonts w:ascii="Tahoma" w:eastAsiaTheme="majorEastAsia" w:hAnsi="Tahoma" w:cs="Tahoma"/>
                <w:bCs/>
              </w:rPr>
            </w:pPr>
            <w:r>
              <w:rPr>
                <w:rFonts w:ascii="Tahoma" w:eastAsiaTheme="majorEastAsia" w:hAnsi="Tahoma" w:cs="Tahoma"/>
                <w:bCs/>
              </w:rPr>
              <w:t>Woluminów – umożliwienie przywrócenia uszkodzonego dysku lub uszkodzonej partycji.</w:t>
            </w:r>
          </w:p>
          <w:p w:rsidR="00B65598" w:rsidRPr="00B65598" w:rsidRDefault="00B65598" w:rsidP="0044167A">
            <w:pPr>
              <w:pStyle w:val="Akapitzlist"/>
              <w:numPr>
                <w:ilvl w:val="0"/>
                <w:numId w:val="33"/>
              </w:numPr>
              <w:jc w:val="both"/>
              <w:rPr>
                <w:rFonts w:ascii="Tahoma" w:eastAsiaTheme="majorEastAsia" w:hAnsi="Tahoma" w:cs="Tahoma"/>
                <w:bCs/>
              </w:rPr>
            </w:pPr>
            <w:r>
              <w:rPr>
                <w:rFonts w:ascii="Tahoma" w:eastAsiaTheme="majorEastAsia" w:hAnsi="Tahoma" w:cs="Tahoma"/>
                <w:bCs/>
              </w:rPr>
              <w:t>Plików – umożliwia przywracanie indywidualnych plików w krótkim czasie (np. w kilka minut).</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Pr="00B65598" w:rsidRDefault="00B65598" w:rsidP="00B65598">
            <w:pPr>
              <w:ind w:left="11"/>
              <w:jc w:val="both"/>
              <w:rPr>
                <w:rFonts w:ascii="Tahoma" w:eastAsiaTheme="majorEastAsia" w:hAnsi="Tahoma" w:cs="Tahoma"/>
                <w:bCs/>
              </w:rPr>
            </w:pPr>
            <w:r>
              <w:rPr>
                <w:rFonts w:ascii="Tahoma" w:eastAsiaTheme="majorEastAsia" w:hAnsi="Tahoma" w:cs="Tahoma"/>
                <w:bCs/>
              </w:rPr>
              <w:t>Narzędzie pozwalające przygotowanie nośnika odzyskiwania w postaci startowego nośnika odzyskiwania z możliwością dołączenia sterowników z oryginalnego systemu operacyjnego oraz z zapewnieniem odzyskiwania zaszyfrowanych kopii zapasowych na komputer bez systemu operacyjnego dzięki dołączeniu kluczy deszyfrujących do nośnika odzyskiwania.</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9851CA" w:rsidP="00E9321B">
            <w:pPr>
              <w:ind w:left="11"/>
              <w:jc w:val="both"/>
              <w:rPr>
                <w:rFonts w:ascii="Tahoma" w:eastAsiaTheme="majorEastAsia" w:hAnsi="Tahoma" w:cs="Tahoma"/>
                <w:bCs/>
              </w:rPr>
            </w:pPr>
            <w:r>
              <w:rPr>
                <w:rFonts w:ascii="Tahoma" w:eastAsiaTheme="majorEastAsia" w:hAnsi="Tahoma" w:cs="Tahoma"/>
                <w:bCs/>
              </w:rPr>
              <w:t>Możliwość wyboru lokalizacji na kopie zapasowe:</w:t>
            </w:r>
          </w:p>
          <w:p w:rsid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Lokalna pamięć masowa.</w:t>
            </w:r>
          </w:p>
          <w:p w:rsid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Nośniki zewnętrzne typu USB z rotacją.</w:t>
            </w:r>
          </w:p>
          <w:p w:rsid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Folder udostępniony (udział SMB).</w:t>
            </w:r>
          </w:p>
          <w:p w:rsid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Lokalne repozytorium kopii zapasowych</w:t>
            </w:r>
          </w:p>
          <w:p w:rsidR="009851CA" w:rsidRPr="009851CA" w:rsidRDefault="009851CA" w:rsidP="0044167A">
            <w:pPr>
              <w:pStyle w:val="Akapitzlist"/>
              <w:numPr>
                <w:ilvl w:val="0"/>
                <w:numId w:val="34"/>
              </w:numPr>
              <w:jc w:val="both"/>
              <w:rPr>
                <w:rFonts w:ascii="Tahoma" w:eastAsiaTheme="majorEastAsia" w:hAnsi="Tahoma" w:cs="Tahoma"/>
                <w:bCs/>
              </w:rPr>
            </w:pPr>
            <w:r>
              <w:rPr>
                <w:rFonts w:ascii="Tahoma" w:eastAsiaTheme="majorEastAsia" w:hAnsi="Tahoma" w:cs="Tahoma"/>
                <w:bCs/>
              </w:rPr>
              <w:t>Chmurowe repozytorium kopii zapasowych.</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9851CA" w:rsidP="00E9321B">
            <w:pPr>
              <w:ind w:left="11"/>
              <w:jc w:val="both"/>
              <w:rPr>
                <w:rFonts w:ascii="Tahoma" w:eastAsiaTheme="majorEastAsia" w:hAnsi="Tahoma" w:cs="Tahoma"/>
                <w:bCs/>
              </w:rPr>
            </w:pPr>
            <w:r>
              <w:rPr>
                <w:rFonts w:ascii="Tahoma" w:eastAsiaTheme="majorEastAsia" w:hAnsi="Tahoma" w:cs="Tahoma"/>
                <w:bCs/>
              </w:rPr>
              <w:t>Opcje tworzenia kopii zapasowych:</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Przyrostowe pełne kopie zapasowe.</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Aktywne pełne kopie zapasowe.</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Autonomiczne pełne kopie zapasowe.</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Szyfrowanie po stronie źródła.</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 xml:space="preserve">Kompresja i </w:t>
            </w:r>
            <w:proofErr w:type="spellStart"/>
            <w:r>
              <w:rPr>
                <w:rFonts w:ascii="Tahoma" w:eastAsiaTheme="majorEastAsia" w:hAnsi="Tahoma" w:cs="Tahoma"/>
                <w:bCs/>
              </w:rPr>
              <w:t>deduplikacja</w:t>
            </w:r>
            <w:proofErr w:type="spellEnd"/>
            <w:r>
              <w:rPr>
                <w:rFonts w:ascii="Tahoma" w:eastAsiaTheme="majorEastAsia" w:hAnsi="Tahoma" w:cs="Tahoma"/>
                <w:bCs/>
              </w:rPr>
              <w:t>.</w:t>
            </w:r>
          </w:p>
          <w:p w:rsid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Przechowywanie na podstawie dni, w których był uruchamiany komputer.</w:t>
            </w:r>
          </w:p>
          <w:p w:rsidR="009851CA" w:rsidRPr="009851CA" w:rsidRDefault="009851CA" w:rsidP="0044167A">
            <w:pPr>
              <w:pStyle w:val="Akapitzlist"/>
              <w:numPr>
                <w:ilvl w:val="0"/>
                <w:numId w:val="35"/>
              </w:numPr>
              <w:jc w:val="both"/>
              <w:rPr>
                <w:rFonts w:ascii="Tahoma" w:eastAsiaTheme="majorEastAsia" w:hAnsi="Tahoma" w:cs="Tahoma"/>
                <w:bCs/>
              </w:rPr>
            </w:pPr>
            <w:r>
              <w:rPr>
                <w:rFonts w:ascii="Tahoma" w:eastAsiaTheme="majorEastAsia" w:hAnsi="Tahoma" w:cs="Tahoma"/>
                <w:bCs/>
              </w:rPr>
              <w:t>Harmonogram dzienny i zdarzenia kopii zapasowych.</w:t>
            </w:r>
          </w:p>
        </w:tc>
      </w:tr>
      <w:tr w:rsidR="00B65598" w:rsidRPr="005B21E3" w:rsidTr="00E9321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B65598" w:rsidRPr="005B21E3" w:rsidRDefault="00B65598" w:rsidP="0044167A">
            <w:pPr>
              <w:pStyle w:val="Akapitzlist"/>
              <w:numPr>
                <w:ilvl w:val="0"/>
                <w:numId w:val="6"/>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65598" w:rsidRDefault="009851CA" w:rsidP="00E9321B">
            <w:pPr>
              <w:ind w:left="11"/>
              <w:jc w:val="both"/>
              <w:rPr>
                <w:rFonts w:ascii="Tahoma" w:eastAsiaTheme="majorEastAsia" w:hAnsi="Tahoma" w:cs="Tahoma"/>
                <w:bCs/>
              </w:rPr>
            </w:pPr>
            <w:r>
              <w:rPr>
                <w:rFonts w:ascii="Tahoma" w:eastAsiaTheme="majorEastAsia" w:hAnsi="Tahoma" w:cs="Tahoma"/>
                <w:bCs/>
              </w:rPr>
              <w:t>Dodatkowe funkcjonalności:</w:t>
            </w:r>
          </w:p>
          <w:p w:rsid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Aplikacja działająca na pasku zadań.</w:t>
            </w:r>
          </w:p>
          <w:p w:rsid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Wbudowane powiadomienia email.</w:t>
            </w:r>
          </w:p>
          <w:p w:rsid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Dyskretna instalacja i uaktualnianie.</w:t>
            </w:r>
          </w:p>
          <w:p w:rsidR="0044167A" w:rsidRDefault="0044167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Monitorowanie i raportowanie.</w:t>
            </w:r>
          </w:p>
          <w:p w:rsid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Eksportowanie w postaci dysku wirtualnego jako pliki VMDK, VHD lub VHDX.</w:t>
            </w:r>
          </w:p>
          <w:p w:rsidR="0044167A" w:rsidRDefault="0044167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Odzyskiwanie bezpośrednio z pliku kopii zapasowej na maszynę wirtualną Hyper-V.</w:t>
            </w:r>
          </w:p>
          <w:p w:rsidR="009851CA" w:rsidRPr="009851CA" w:rsidRDefault="009851CA" w:rsidP="0044167A">
            <w:pPr>
              <w:pStyle w:val="Akapitzlist"/>
              <w:numPr>
                <w:ilvl w:val="0"/>
                <w:numId w:val="36"/>
              </w:numPr>
              <w:jc w:val="both"/>
              <w:rPr>
                <w:rFonts w:ascii="Tahoma" w:eastAsiaTheme="majorEastAsia" w:hAnsi="Tahoma" w:cs="Tahoma"/>
                <w:bCs/>
              </w:rPr>
            </w:pPr>
            <w:r>
              <w:rPr>
                <w:rFonts w:ascii="Tahoma" w:eastAsiaTheme="majorEastAsia" w:hAnsi="Tahoma" w:cs="Tahoma"/>
                <w:bCs/>
              </w:rPr>
              <w:t xml:space="preserve">Możliwość integracji z rozwiązaniami producenta oprogramowania </w:t>
            </w:r>
            <w:proofErr w:type="spellStart"/>
            <w:r>
              <w:rPr>
                <w:rFonts w:ascii="Tahoma" w:eastAsiaTheme="majorEastAsia" w:hAnsi="Tahoma" w:cs="Tahoma"/>
                <w:bCs/>
              </w:rPr>
              <w:t>Veeam</w:t>
            </w:r>
            <w:proofErr w:type="spellEnd"/>
            <w:r w:rsidR="0044167A">
              <w:rPr>
                <w:rFonts w:ascii="Tahoma" w:eastAsiaTheme="majorEastAsia" w:hAnsi="Tahoma" w:cs="Tahoma"/>
                <w:bCs/>
              </w:rPr>
              <w:t>.</w:t>
            </w:r>
          </w:p>
        </w:tc>
      </w:tr>
    </w:tbl>
    <w:p w:rsidR="00B65598" w:rsidRPr="005B21E3" w:rsidRDefault="00B65598" w:rsidP="005B21E3">
      <w:pPr>
        <w:rPr>
          <w:rFonts w:ascii="Tahoma" w:hAnsi="Tahoma" w:cs="Tahoma"/>
        </w:rPr>
      </w:pPr>
    </w:p>
    <w:p w:rsidR="00A26792" w:rsidRPr="005B21E3" w:rsidRDefault="00A26792" w:rsidP="00A26792">
      <w:pPr>
        <w:pStyle w:val="Nagwek2"/>
        <w:jc w:val="both"/>
        <w:rPr>
          <w:rFonts w:cs="Tahoma"/>
          <w:sz w:val="22"/>
          <w:szCs w:val="22"/>
        </w:rPr>
      </w:pPr>
      <w:r w:rsidRPr="005B21E3">
        <w:rPr>
          <w:rFonts w:cs="Tahoma"/>
          <w:sz w:val="22"/>
          <w:szCs w:val="22"/>
        </w:rPr>
        <w:t>Wykaz oprogramowania</w:t>
      </w:r>
      <w:r>
        <w:rPr>
          <w:rFonts w:cs="Tahoma"/>
          <w:sz w:val="22"/>
          <w:szCs w:val="22"/>
        </w:rPr>
        <w:t xml:space="preserve"> dla Części III.</w:t>
      </w:r>
    </w:p>
    <w:p w:rsidR="004A09BB" w:rsidRPr="005B21E3" w:rsidRDefault="004A09BB" w:rsidP="0044167A">
      <w:pPr>
        <w:pStyle w:val="Nagwek3"/>
        <w:numPr>
          <w:ilvl w:val="2"/>
          <w:numId w:val="1"/>
        </w:numPr>
        <w:rPr>
          <w:rFonts w:ascii="Tahoma" w:hAnsi="Tahoma" w:cs="Tahoma"/>
          <w:szCs w:val="22"/>
        </w:rPr>
      </w:pPr>
      <w:r w:rsidRPr="005B21E3">
        <w:rPr>
          <w:rFonts w:ascii="Tahoma" w:hAnsi="Tahoma" w:cs="Tahoma"/>
          <w:szCs w:val="22"/>
        </w:rPr>
        <w:t xml:space="preserve">Licencja oprogramowania antywirusowego ESET Mail Security for Microsoft Exchange Server lub </w:t>
      </w:r>
      <w:r w:rsidR="00466F0C" w:rsidRPr="005B21E3">
        <w:rPr>
          <w:rFonts w:ascii="Tahoma" w:hAnsi="Tahoma" w:cs="Tahoma"/>
          <w:szCs w:val="22"/>
        </w:rPr>
        <w:t xml:space="preserve">produkt </w:t>
      </w:r>
      <w:r w:rsidRPr="005B21E3">
        <w:rPr>
          <w:rFonts w:ascii="Tahoma" w:hAnsi="Tahoma" w:cs="Tahoma"/>
          <w:szCs w:val="22"/>
        </w:rPr>
        <w:t xml:space="preserve">równoważny: </w:t>
      </w:r>
    </w:p>
    <w:bookmarkEnd w:id="11"/>
    <w:bookmarkEnd w:id="12"/>
    <w:bookmarkEnd w:id="13"/>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
          <w:bCs/>
        </w:rPr>
        <w:t>50 licencji</w:t>
      </w:r>
      <w:r w:rsidRPr="005B21E3">
        <w:rPr>
          <w:rFonts w:ascii="Tahoma" w:eastAsiaTheme="majorEastAsia" w:hAnsi="Tahoma" w:cs="Tahoma"/>
          <w:bCs/>
        </w:rPr>
        <w:t xml:space="preserve"> na ochronę skrzynek pocztowych oraz systemu plików na serwerze z zainstalowanym oprogramowaniem serwerowym Microsoft Exchange Server. Licencja ta, musi być skonsolidowana z posiadaną licencją przez Zamawiającego. Wykonawca musi uzyskać od Zamawiającego, drogą elektroniczną, identyfikator publiczny niezbędny do realizacji konsolidacji.</w:t>
      </w:r>
    </w:p>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Licencja musi być ważna od dnia dostawy licencji oprogramowania do dnia 04.08.2018 r. Ważność terminu licencji jest niezbędna w celu wyrównania liczby licencji posiadanej przez Zamawiającego.</w:t>
      </w:r>
    </w:p>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Zamawiający dopuszcza produkt równoważny, którego funkcjonalność pokrywa się z funkcjami ESET Mail Security for Microsoft Exchange Server. W przypadku rozwiązania równoważnego Zamawiający wymaga przeprowadzenia przez wykonawcę migracji i wdrożenia oprogramowania (instalacja na wszystkich stanowiskach wskazanych przez Zamawiającego) oraz przeprowadzenie szkolenia Działu Informatyki w zakresie obsługi oprogramowania.</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4A09BB" w:rsidRPr="005B21E3" w:rsidTr="004A09BB">
        <w:trPr>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4A09BB" w:rsidRPr="005B21E3" w:rsidRDefault="004A09BB" w:rsidP="004A09BB">
            <w:pPr>
              <w:autoSpaceDE w:val="0"/>
              <w:autoSpaceDN w:val="0"/>
              <w:adjustRightInd w:val="0"/>
              <w:jc w:val="both"/>
              <w:rPr>
                <w:rFonts w:ascii="Tahoma" w:hAnsi="Tahoma" w:cs="Tahoma"/>
                <w:b/>
                <w:bCs/>
              </w:rPr>
            </w:pPr>
            <w:bookmarkStart w:id="16" w:name="OLE_LINK1"/>
            <w:bookmarkStart w:id="17" w:name="OLE_LINK2"/>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4A09BB" w:rsidRPr="005B21E3" w:rsidRDefault="004A09BB" w:rsidP="004A09BB">
            <w:pPr>
              <w:jc w:val="both"/>
              <w:rPr>
                <w:rFonts w:ascii="Tahoma" w:eastAsiaTheme="majorEastAsia" w:hAnsi="Tahoma" w:cs="Tahoma"/>
                <w:bCs/>
              </w:rPr>
            </w:pPr>
            <w:r w:rsidRPr="005B21E3">
              <w:rPr>
                <w:rFonts w:ascii="Tahoma" w:hAnsi="Tahoma" w:cs="Tahoma"/>
                <w:b/>
                <w:bCs/>
              </w:rPr>
              <w:t>Warunek równoważności</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bookmarkStart w:id="18" w:name="_Hlk414453114"/>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Kompatybilny z systemami operacyjnymi użytkowanymi przez Zamawiającego.</w:t>
            </w:r>
          </w:p>
        </w:tc>
      </w:tr>
      <w:bookmarkEnd w:id="18"/>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Kompatybilny z serwerem pocztowym użytkowanym przez Zamawiającego.</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Skanowanie ruchu wychodzącego i przychodzącego protokołów: POP3, SMTP i IMAP.</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Skanowanie wiadomości email na poziomie bramy, włącznie z zagrożeniami szpiegującymi.</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Pełna ochrona systemu serwerowego: wbudowany skaner systemu plików w czasie rzeczywistym oraz na żądanie.</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Filtrowanie wiadomości antyspamowe oraz wyłudzające dane (</w:t>
            </w:r>
            <w:proofErr w:type="spellStart"/>
            <w:r w:rsidRPr="005B21E3">
              <w:rPr>
                <w:rFonts w:ascii="Tahoma" w:eastAsiaTheme="majorEastAsia" w:hAnsi="Tahoma" w:cs="Tahoma"/>
                <w:bCs/>
              </w:rPr>
              <w:t>phishing</w:t>
            </w:r>
            <w:proofErr w:type="spellEnd"/>
            <w:r w:rsidRPr="005B21E3">
              <w:rPr>
                <w:rFonts w:ascii="Tahoma" w:eastAsiaTheme="majorEastAsia" w:hAnsi="Tahoma" w:cs="Tahoma"/>
                <w:bCs/>
              </w:rPr>
              <w:t>).</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Kompatybilność z ESET Remote Administrator.</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Możliwość zdalnej instalacji i aktualizacji oprogramowania.</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Zarządzanie politykami bezpieczeństwa, monitorowanie wykrytych zagrożeń oraz konfiguracja z jednej konsoli.</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Automatyczne dodawanie wyjątków skanowania dla krytycznych plików serwera.</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Stały monitoring statusów ochrony oraz wydajność serwera w czasie rzeczywistym.</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jc w:val="both"/>
              <w:rPr>
                <w:rFonts w:ascii="Tahoma" w:eastAsiaTheme="majorEastAsia" w:hAnsi="Tahoma" w:cs="Tahoma"/>
                <w:bCs/>
              </w:rPr>
            </w:pPr>
            <w:r w:rsidRPr="005B21E3">
              <w:rPr>
                <w:rFonts w:ascii="Tahoma" w:eastAsiaTheme="majorEastAsia" w:hAnsi="Tahoma" w:cs="Tahoma"/>
                <w:bCs/>
              </w:rPr>
              <w:t>Możliwość przeglądania logów spamu pod kątem nadawców i odbiorców, przeglądanie wyników spamu, jego powodów klasyfikacji oraz podjętych działań.</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6868B9">
            <w:pPr>
              <w:pStyle w:val="Akapitzlist"/>
              <w:numPr>
                <w:ilvl w:val="0"/>
                <w:numId w:val="37"/>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Cs/>
              </w:rPr>
              <w:t>Tworzenie oddzielnych konfiguracji kwarantann dla poszczególnych skrzynek pocztowych.</w:t>
            </w:r>
          </w:p>
        </w:tc>
      </w:tr>
      <w:bookmarkEnd w:id="16"/>
      <w:bookmarkEnd w:id="17"/>
    </w:tbl>
    <w:p w:rsidR="00367A82" w:rsidRPr="005B21E3" w:rsidRDefault="00367A82" w:rsidP="00367A82">
      <w:pPr>
        <w:pStyle w:val="Nagwek3"/>
        <w:numPr>
          <w:ilvl w:val="0"/>
          <w:numId w:val="0"/>
        </w:numPr>
        <w:ind w:left="720" w:hanging="720"/>
        <w:rPr>
          <w:rFonts w:ascii="Tahoma" w:hAnsi="Tahoma" w:cs="Tahoma"/>
          <w:szCs w:val="22"/>
        </w:rPr>
      </w:pPr>
    </w:p>
    <w:p w:rsidR="004A09BB" w:rsidRPr="005B21E3" w:rsidRDefault="00466F0C" w:rsidP="0044167A">
      <w:pPr>
        <w:pStyle w:val="Nagwek3"/>
        <w:numPr>
          <w:ilvl w:val="2"/>
          <w:numId w:val="1"/>
        </w:numPr>
        <w:rPr>
          <w:rFonts w:ascii="Tahoma" w:hAnsi="Tahoma" w:cs="Tahoma"/>
          <w:szCs w:val="22"/>
        </w:rPr>
      </w:pPr>
      <w:r w:rsidRPr="005B21E3">
        <w:rPr>
          <w:rFonts w:ascii="Tahoma" w:hAnsi="Tahoma" w:cs="Tahoma"/>
          <w:szCs w:val="22"/>
        </w:rPr>
        <w:t>Licencja o</w:t>
      </w:r>
      <w:r w:rsidR="004A09BB" w:rsidRPr="005B21E3">
        <w:rPr>
          <w:rFonts w:ascii="Tahoma" w:hAnsi="Tahoma" w:cs="Tahoma"/>
          <w:szCs w:val="22"/>
        </w:rPr>
        <w:t>programowani</w:t>
      </w:r>
      <w:r w:rsidRPr="005B21E3">
        <w:rPr>
          <w:rFonts w:ascii="Tahoma" w:hAnsi="Tahoma" w:cs="Tahoma"/>
          <w:szCs w:val="22"/>
        </w:rPr>
        <w:t>a</w:t>
      </w:r>
      <w:r w:rsidR="004A09BB" w:rsidRPr="005B21E3">
        <w:rPr>
          <w:rFonts w:ascii="Tahoma" w:hAnsi="Tahoma" w:cs="Tahoma"/>
          <w:szCs w:val="22"/>
        </w:rPr>
        <w:t xml:space="preserve"> graficzne</w:t>
      </w:r>
      <w:r w:rsidRPr="005B21E3">
        <w:rPr>
          <w:rFonts w:ascii="Tahoma" w:hAnsi="Tahoma" w:cs="Tahoma"/>
          <w:szCs w:val="22"/>
        </w:rPr>
        <w:t>go</w:t>
      </w:r>
      <w:r w:rsidR="004A09BB" w:rsidRPr="005B21E3">
        <w:rPr>
          <w:rFonts w:ascii="Tahoma" w:hAnsi="Tahoma" w:cs="Tahoma"/>
          <w:szCs w:val="22"/>
        </w:rPr>
        <w:t xml:space="preserve"> Corel Draw Graphics Suite X8 Special Edition w polskiej wersji językowej lub </w:t>
      </w:r>
      <w:r w:rsidRPr="005B21E3">
        <w:rPr>
          <w:rFonts w:ascii="Tahoma" w:hAnsi="Tahoma" w:cs="Tahoma"/>
          <w:szCs w:val="22"/>
        </w:rPr>
        <w:t xml:space="preserve">produkt </w:t>
      </w:r>
      <w:r w:rsidR="004A09BB" w:rsidRPr="005B21E3">
        <w:rPr>
          <w:rFonts w:ascii="Tahoma" w:hAnsi="Tahoma" w:cs="Tahoma"/>
          <w:szCs w:val="22"/>
        </w:rPr>
        <w:t xml:space="preserve">równoważny: </w:t>
      </w:r>
    </w:p>
    <w:p w:rsidR="004A09BB" w:rsidRPr="005B21E3" w:rsidRDefault="004A09BB" w:rsidP="004A09BB">
      <w:pPr>
        <w:ind w:left="11"/>
        <w:jc w:val="both"/>
        <w:rPr>
          <w:rFonts w:ascii="Tahoma" w:eastAsiaTheme="majorEastAsia" w:hAnsi="Tahoma" w:cs="Tahoma"/>
          <w:bCs/>
        </w:rPr>
      </w:pPr>
      <w:r w:rsidRPr="005B21E3">
        <w:rPr>
          <w:rFonts w:ascii="Tahoma" w:eastAsiaTheme="majorEastAsia" w:hAnsi="Tahoma" w:cs="Tahoma"/>
          <w:b/>
          <w:bCs/>
        </w:rPr>
        <w:t>2 licencje</w:t>
      </w:r>
      <w:r w:rsidRPr="005B21E3">
        <w:rPr>
          <w:rFonts w:ascii="Tahoma" w:eastAsiaTheme="majorEastAsia" w:hAnsi="Tahoma" w:cs="Tahoma"/>
          <w:bCs/>
        </w:rPr>
        <w:t xml:space="preserve"> na oprogramowanie graficzne na nośniku CD/DVD lub udostępnienie oprogramowania drogą elektroniczną poprzez dostęp do strony internetowej zawierającej dane oprogramowanie oraz dokument potwierdzający prawo do korzystania z programu na 2 stanowiskach. Licencja bez ograniczeń czasowych.</w:t>
      </w:r>
    </w:p>
    <w:tbl>
      <w:tblPr>
        <w:tblW w:w="9645" w:type="dxa"/>
        <w:tblInd w:w="45" w:type="dxa"/>
        <w:tblLayout w:type="fixed"/>
        <w:tblCellMar>
          <w:left w:w="10" w:type="dxa"/>
          <w:right w:w="10" w:type="dxa"/>
        </w:tblCellMar>
        <w:tblLook w:val="04A0" w:firstRow="1" w:lastRow="0" w:firstColumn="1" w:lastColumn="0" w:noHBand="0" w:noVBand="1"/>
      </w:tblPr>
      <w:tblGrid>
        <w:gridCol w:w="525"/>
        <w:gridCol w:w="9120"/>
      </w:tblGrid>
      <w:tr w:rsidR="004A09BB" w:rsidRPr="005B21E3" w:rsidTr="004A09BB">
        <w:trPr>
          <w:trHeight w:val="426"/>
          <w:tblHeader/>
        </w:trPr>
        <w:tc>
          <w:tcPr>
            <w:tcW w:w="525" w:type="dxa"/>
            <w:tcBorders>
              <w:top w:val="single" w:sz="2" w:space="0" w:color="000000"/>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vAlign w:val="center"/>
            <w:hideMark/>
          </w:tcPr>
          <w:p w:rsidR="004A09BB" w:rsidRPr="005B21E3" w:rsidRDefault="004A09BB" w:rsidP="004A09BB">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vAlign w:val="center"/>
            <w:hideMark/>
          </w:tcPr>
          <w:p w:rsidR="004A09BB" w:rsidRPr="005B21E3" w:rsidRDefault="004A09BB" w:rsidP="004A09BB">
            <w:pPr>
              <w:jc w:val="both"/>
              <w:rPr>
                <w:rFonts w:ascii="Tahoma" w:eastAsiaTheme="majorEastAsia" w:hAnsi="Tahoma" w:cs="Tahoma"/>
                <w:bCs/>
              </w:rPr>
            </w:pPr>
            <w:r w:rsidRPr="005B21E3">
              <w:rPr>
                <w:rFonts w:ascii="Tahoma" w:hAnsi="Tahoma" w:cs="Tahoma"/>
                <w:b/>
                <w:bCs/>
              </w:rPr>
              <w:t>Warunek równoważności</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pStyle w:val="TableContents"/>
              <w:spacing w:line="276" w:lineRule="auto"/>
              <w:rPr>
                <w:rFonts w:ascii="Tahoma" w:hAnsi="Tahoma"/>
                <w:color w:val="000000"/>
                <w:sz w:val="22"/>
                <w:szCs w:val="22"/>
              </w:rPr>
            </w:pPr>
            <w:r w:rsidRPr="005B21E3">
              <w:rPr>
                <w:rFonts w:ascii="Tahoma" w:hAnsi="Tahoma"/>
                <w:color w:val="000000"/>
                <w:sz w:val="22"/>
                <w:szCs w:val="22"/>
              </w:rPr>
              <w:t>Współpraca z systemami operacyjnymi firmy Microsoft Windows.</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pStyle w:val="TableContents"/>
              <w:spacing w:line="276" w:lineRule="auto"/>
              <w:rPr>
                <w:rFonts w:ascii="Tahoma" w:hAnsi="Tahoma"/>
                <w:color w:val="000000"/>
                <w:sz w:val="22"/>
                <w:szCs w:val="22"/>
              </w:rPr>
            </w:pPr>
            <w:r w:rsidRPr="005B21E3">
              <w:rPr>
                <w:rFonts w:ascii="Tahoma" w:hAnsi="Tahoma"/>
                <w:color w:val="000000"/>
                <w:sz w:val="22"/>
                <w:szCs w:val="22"/>
              </w:rPr>
              <w:t>Współpraca z procesorami o architekturze wielordzeniowej.</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spacing w:line="360" w:lineRule="auto"/>
              <w:rPr>
                <w:rFonts w:ascii="Tahoma" w:hAnsi="Tahoma" w:cs="Tahoma"/>
              </w:rPr>
            </w:pPr>
            <w:r w:rsidRPr="005B21E3">
              <w:rPr>
                <w:rFonts w:ascii="Tahoma" w:hAnsi="Tahoma" w:cs="Tahoma"/>
              </w:rPr>
              <w:t>Wymagania odnośnie interfejsu użytkownika:</w:t>
            </w:r>
          </w:p>
          <w:p w:rsidR="004A09BB" w:rsidRPr="005B21E3" w:rsidRDefault="004A09BB" w:rsidP="0044167A">
            <w:pPr>
              <w:pStyle w:val="Akapitzlist"/>
              <w:numPr>
                <w:ilvl w:val="0"/>
                <w:numId w:val="16"/>
              </w:numPr>
              <w:spacing w:line="360" w:lineRule="auto"/>
              <w:rPr>
                <w:rFonts w:ascii="Tahoma" w:hAnsi="Tahoma" w:cs="Tahoma"/>
              </w:rPr>
            </w:pPr>
            <w:r w:rsidRPr="005B21E3">
              <w:rPr>
                <w:rFonts w:ascii="Tahoma" w:hAnsi="Tahoma" w:cs="Tahoma"/>
              </w:rPr>
              <w:t>Pełna polska wersja językowa interfejsu użytkownika z możliwością przełączania wersji językowej interfejsu na język angielski,</w:t>
            </w:r>
          </w:p>
          <w:p w:rsidR="004A09BB" w:rsidRPr="005B21E3" w:rsidRDefault="004A09BB" w:rsidP="0044167A">
            <w:pPr>
              <w:pStyle w:val="Akapitzlist"/>
              <w:numPr>
                <w:ilvl w:val="0"/>
                <w:numId w:val="16"/>
              </w:numPr>
              <w:spacing w:line="360" w:lineRule="auto"/>
              <w:rPr>
                <w:rFonts w:ascii="Tahoma" w:hAnsi="Tahoma" w:cs="Tahoma"/>
              </w:rPr>
            </w:pPr>
            <w:r w:rsidRPr="005B21E3">
              <w:rPr>
                <w:rFonts w:ascii="Tahoma" w:hAnsi="Tahoma" w:cs="Tahoma"/>
              </w:rPr>
              <w:t>Prostota i intuicyjność obsługi, pozwalająca na pracę osobom nieposiadającym umiejętności technicznych.</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spacing w:line="360" w:lineRule="auto"/>
              <w:rPr>
                <w:rFonts w:ascii="Tahoma" w:hAnsi="Tahoma" w:cs="Tahoma"/>
              </w:rPr>
            </w:pPr>
            <w:r w:rsidRPr="005B21E3">
              <w:rPr>
                <w:rFonts w:ascii="Tahoma" w:hAnsi="Tahoma" w:cs="Tahoma"/>
              </w:rPr>
              <w:t>Pakiet zintegrowanych aplikacji graficznych musi zawierać:</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Edytor grafiki wektorowej.</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Edytor grafiki rastrowej i zdjęć.</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Narzędzie przekształcania map bitowych do postaci wektorowej.</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Narzędzie do przechwytywania zawartości ekranu komputera.</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Narzędzie do szybkiego wyszukiwania materiałów.</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 xml:space="preserve">Obrazki </w:t>
            </w:r>
            <w:proofErr w:type="spellStart"/>
            <w:r w:rsidRPr="005B21E3">
              <w:rPr>
                <w:rFonts w:ascii="Tahoma" w:hAnsi="Tahoma" w:cs="Tahoma"/>
              </w:rPr>
              <w:t>clipart</w:t>
            </w:r>
            <w:proofErr w:type="spellEnd"/>
            <w:r w:rsidRPr="005B21E3">
              <w:rPr>
                <w:rFonts w:ascii="Tahoma" w:hAnsi="Tahoma" w:cs="Tahoma"/>
              </w:rPr>
              <w:t>, zestaw czcionek.</w:t>
            </w:r>
          </w:p>
          <w:p w:rsidR="004A09BB" w:rsidRPr="005B21E3" w:rsidRDefault="004A09BB" w:rsidP="0044167A">
            <w:pPr>
              <w:pStyle w:val="Akapitzlist"/>
              <w:numPr>
                <w:ilvl w:val="0"/>
                <w:numId w:val="17"/>
              </w:numPr>
              <w:spacing w:line="360" w:lineRule="auto"/>
              <w:rPr>
                <w:rFonts w:ascii="Tahoma" w:hAnsi="Tahoma" w:cs="Tahoma"/>
              </w:rPr>
            </w:pPr>
            <w:r w:rsidRPr="005B21E3">
              <w:rPr>
                <w:rFonts w:ascii="Tahoma" w:hAnsi="Tahoma" w:cs="Tahoma"/>
              </w:rPr>
              <w:t>Poradnik użytkownika oraz kurs w formie elektronicznej.</w:t>
            </w:r>
          </w:p>
        </w:tc>
      </w:tr>
      <w:tr w:rsidR="004A09BB" w:rsidRPr="005B21E3" w:rsidTr="004A09BB">
        <w:tc>
          <w:tcPr>
            <w:tcW w:w="525" w:type="dxa"/>
            <w:tcBorders>
              <w:top w:val="nil"/>
              <w:left w:val="single" w:sz="2" w:space="0" w:color="000000"/>
              <w:bottom w:val="single" w:sz="2" w:space="0" w:color="000000"/>
              <w:right w:val="nil"/>
            </w:tcBorders>
            <w:shd w:val="clear" w:color="auto" w:fill="BFBFBF" w:themeFill="background1" w:themeFillShade="BF"/>
            <w:tcMar>
              <w:top w:w="55" w:type="dxa"/>
              <w:left w:w="55" w:type="dxa"/>
              <w:bottom w:w="55" w:type="dxa"/>
              <w:right w:w="55" w:type="dxa"/>
            </w:tcMar>
          </w:tcPr>
          <w:p w:rsidR="004A09BB" w:rsidRPr="005B21E3" w:rsidRDefault="004A09BB" w:rsidP="0044167A">
            <w:pPr>
              <w:pStyle w:val="Akapitzlist"/>
              <w:numPr>
                <w:ilvl w:val="0"/>
                <w:numId w:val="15"/>
              </w:numPr>
              <w:spacing w:after="0"/>
              <w:jc w:val="both"/>
              <w:rPr>
                <w:rFonts w:ascii="Tahoma" w:eastAsiaTheme="majorEastAsia" w:hAnsi="Tahoma" w:cs="Tahoma"/>
                <w:bCs/>
              </w:rPr>
            </w:pPr>
          </w:p>
        </w:tc>
        <w:tc>
          <w:tcPr>
            <w:tcW w:w="91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A09BB" w:rsidRPr="005B21E3" w:rsidRDefault="004A09BB" w:rsidP="004A09BB">
            <w:pPr>
              <w:pStyle w:val="Textbody"/>
              <w:spacing w:line="276" w:lineRule="auto"/>
              <w:rPr>
                <w:rFonts w:ascii="Tahoma" w:hAnsi="Tahoma"/>
                <w:color w:val="000000"/>
                <w:sz w:val="22"/>
                <w:szCs w:val="22"/>
              </w:rPr>
            </w:pPr>
            <w:r w:rsidRPr="005B21E3">
              <w:rPr>
                <w:rFonts w:ascii="Tahoma" w:hAnsi="Tahoma"/>
                <w:color w:val="000000"/>
                <w:sz w:val="22"/>
                <w:szCs w:val="22"/>
              </w:rPr>
              <w:t xml:space="preserve">Pełna obsługa plików graficznych z rozszerzeniem </w:t>
            </w:r>
            <w:proofErr w:type="spellStart"/>
            <w:r w:rsidRPr="005B21E3">
              <w:rPr>
                <w:rFonts w:ascii="Tahoma" w:hAnsi="Tahoma"/>
                <w:color w:val="000000"/>
                <w:sz w:val="22"/>
                <w:szCs w:val="22"/>
              </w:rPr>
              <w:t>cdr</w:t>
            </w:r>
            <w:proofErr w:type="spellEnd"/>
            <w:r w:rsidRPr="005B21E3">
              <w:rPr>
                <w:rFonts w:ascii="Tahoma" w:hAnsi="Tahoma"/>
                <w:color w:val="000000"/>
                <w:sz w:val="22"/>
                <w:szCs w:val="22"/>
              </w:rPr>
              <w:t xml:space="preserve"> przynajmniej w wersji Corel Draw X5.</w:t>
            </w:r>
          </w:p>
        </w:tc>
      </w:tr>
    </w:tbl>
    <w:p w:rsidR="004A09BB" w:rsidRPr="005B21E3" w:rsidRDefault="004A09BB" w:rsidP="004A09BB">
      <w:pPr>
        <w:ind w:left="11"/>
        <w:jc w:val="both"/>
        <w:rPr>
          <w:rFonts w:ascii="Tahoma" w:eastAsiaTheme="majorEastAsia" w:hAnsi="Tahoma" w:cs="Tahoma"/>
          <w:bCs/>
        </w:rPr>
      </w:pPr>
    </w:p>
    <w:p w:rsidR="00105E16" w:rsidRPr="005B21E3" w:rsidRDefault="00105E16" w:rsidP="0044167A">
      <w:pPr>
        <w:pStyle w:val="Nagwek3"/>
        <w:numPr>
          <w:ilvl w:val="2"/>
          <w:numId w:val="1"/>
        </w:numPr>
        <w:rPr>
          <w:rFonts w:ascii="Tahoma" w:hAnsi="Tahoma" w:cs="Tahoma"/>
          <w:szCs w:val="22"/>
        </w:rPr>
      </w:pPr>
      <w:r w:rsidRPr="005B21E3">
        <w:rPr>
          <w:rFonts w:ascii="Tahoma" w:hAnsi="Tahoma" w:cs="Tahoma"/>
          <w:szCs w:val="22"/>
        </w:rPr>
        <w:t xml:space="preserve">Oprogramowanie edytorskie </w:t>
      </w:r>
      <w:proofErr w:type="spellStart"/>
      <w:r w:rsidRPr="005B21E3">
        <w:rPr>
          <w:rFonts w:ascii="Tahoma" w:hAnsi="Tahoma" w:cs="Tahoma"/>
          <w:szCs w:val="22"/>
        </w:rPr>
        <w:t>Foxit</w:t>
      </w:r>
      <w:proofErr w:type="spellEnd"/>
      <w:r w:rsidRPr="005B21E3">
        <w:rPr>
          <w:rFonts w:ascii="Tahoma" w:hAnsi="Tahoma" w:cs="Tahoma"/>
          <w:szCs w:val="22"/>
        </w:rPr>
        <w:t xml:space="preserve"> Phantom </w:t>
      </w:r>
      <w:r w:rsidR="00833F72" w:rsidRPr="005B21E3">
        <w:rPr>
          <w:rFonts w:ascii="Tahoma" w:hAnsi="Tahoma" w:cs="Tahoma"/>
          <w:szCs w:val="22"/>
        </w:rPr>
        <w:t xml:space="preserve">Standard 8 </w:t>
      </w:r>
      <w:r w:rsidRPr="005B21E3">
        <w:rPr>
          <w:rFonts w:ascii="Tahoma" w:hAnsi="Tahoma" w:cs="Tahoma"/>
          <w:szCs w:val="22"/>
        </w:rPr>
        <w:t>w polskiej wersji językowej lub</w:t>
      </w:r>
      <w:r w:rsidR="00466F0C" w:rsidRPr="005B21E3">
        <w:rPr>
          <w:rFonts w:ascii="Tahoma" w:hAnsi="Tahoma" w:cs="Tahoma"/>
          <w:szCs w:val="22"/>
        </w:rPr>
        <w:t xml:space="preserve"> produkt</w:t>
      </w:r>
      <w:r w:rsidRPr="005B21E3">
        <w:rPr>
          <w:rFonts w:ascii="Tahoma" w:hAnsi="Tahoma" w:cs="Tahoma"/>
          <w:szCs w:val="22"/>
        </w:rPr>
        <w:t xml:space="preserve"> równoważny: </w:t>
      </w:r>
    </w:p>
    <w:p w:rsidR="00105E16" w:rsidRPr="005B21E3" w:rsidRDefault="00833F72" w:rsidP="00105E16">
      <w:pPr>
        <w:ind w:left="11"/>
        <w:jc w:val="both"/>
        <w:rPr>
          <w:rFonts w:ascii="Tahoma" w:eastAsiaTheme="majorEastAsia" w:hAnsi="Tahoma" w:cs="Tahoma"/>
          <w:bCs/>
        </w:rPr>
      </w:pPr>
      <w:r w:rsidRPr="005B21E3">
        <w:rPr>
          <w:rFonts w:ascii="Tahoma" w:eastAsiaTheme="majorEastAsia" w:hAnsi="Tahoma" w:cs="Tahoma"/>
          <w:b/>
          <w:bCs/>
        </w:rPr>
        <w:t>1</w:t>
      </w:r>
      <w:r w:rsidR="00105E16" w:rsidRPr="005B21E3">
        <w:rPr>
          <w:rFonts w:ascii="Tahoma" w:eastAsiaTheme="majorEastAsia" w:hAnsi="Tahoma" w:cs="Tahoma"/>
          <w:b/>
          <w:bCs/>
        </w:rPr>
        <w:t xml:space="preserve"> licencj</w:t>
      </w:r>
      <w:r w:rsidRPr="005B21E3">
        <w:rPr>
          <w:rFonts w:ascii="Tahoma" w:eastAsiaTheme="majorEastAsia" w:hAnsi="Tahoma" w:cs="Tahoma"/>
          <w:b/>
          <w:bCs/>
        </w:rPr>
        <w:t>a</w:t>
      </w:r>
      <w:r w:rsidR="00105E16" w:rsidRPr="005B21E3">
        <w:rPr>
          <w:rFonts w:ascii="Tahoma" w:eastAsiaTheme="majorEastAsia" w:hAnsi="Tahoma" w:cs="Tahoma"/>
          <w:bCs/>
        </w:rPr>
        <w:t xml:space="preserve"> na oprogramowanie </w:t>
      </w:r>
      <w:r w:rsidRPr="005B21E3">
        <w:rPr>
          <w:rFonts w:ascii="Tahoma" w:eastAsiaTheme="majorEastAsia" w:hAnsi="Tahoma" w:cs="Tahoma"/>
          <w:bCs/>
        </w:rPr>
        <w:t>edytorskie</w:t>
      </w:r>
      <w:r w:rsidR="00105E16" w:rsidRPr="005B21E3">
        <w:rPr>
          <w:rFonts w:ascii="Tahoma" w:eastAsiaTheme="majorEastAsia" w:hAnsi="Tahoma" w:cs="Tahoma"/>
          <w:bCs/>
        </w:rPr>
        <w:t xml:space="preserve"> na nośniku CD</w:t>
      </w:r>
      <w:r w:rsidRPr="005B21E3">
        <w:rPr>
          <w:rFonts w:ascii="Tahoma" w:eastAsiaTheme="majorEastAsia" w:hAnsi="Tahoma" w:cs="Tahoma"/>
          <w:bCs/>
        </w:rPr>
        <w:t>/</w:t>
      </w:r>
      <w:r w:rsidR="00105E16" w:rsidRPr="005B21E3">
        <w:rPr>
          <w:rFonts w:ascii="Tahoma" w:eastAsiaTheme="majorEastAsia" w:hAnsi="Tahoma" w:cs="Tahoma"/>
          <w:bCs/>
        </w:rPr>
        <w:t>DVD lub udostępnienie oprogramowania drogą elektroniczną poprzez dostęp do strony internetowej zawierającej dane oprogramowanie oraz dokument potwierdzający prawo do korzystania z programu na 2 stanowiskach. Licencja bez ograniczeń czasowych.</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105E16" w:rsidRPr="005B21E3" w:rsidTr="002B7300">
        <w:trPr>
          <w:trHeight w:val="426"/>
          <w:tblHeader/>
        </w:trPr>
        <w:tc>
          <w:tcPr>
            <w:tcW w:w="525" w:type="dxa"/>
            <w:shd w:val="clear" w:color="auto" w:fill="BFBFBF" w:themeFill="background1" w:themeFillShade="BF"/>
            <w:tcMar>
              <w:top w:w="55" w:type="dxa"/>
              <w:left w:w="55" w:type="dxa"/>
              <w:bottom w:w="55" w:type="dxa"/>
              <w:right w:w="55" w:type="dxa"/>
            </w:tcMar>
            <w:vAlign w:val="center"/>
            <w:hideMark/>
          </w:tcPr>
          <w:p w:rsidR="00105E16" w:rsidRPr="005B21E3" w:rsidRDefault="00105E16" w:rsidP="008F66B6">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shd w:val="clear" w:color="auto" w:fill="BFBFBF" w:themeFill="background1" w:themeFillShade="BF"/>
            <w:tcMar>
              <w:top w:w="55" w:type="dxa"/>
              <w:left w:w="55" w:type="dxa"/>
              <w:bottom w:w="55" w:type="dxa"/>
              <w:right w:w="55" w:type="dxa"/>
            </w:tcMar>
            <w:vAlign w:val="center"/>
            <w:hideMark/>
          </w:tcPr>
          <w:p w:rsidR="00105E16" w:rsidRPr="005B21E3" w:rsidRDefault="00105E16" w:rsidP="008F66B6">
            <w:pPr>
              <w:jc w:val="both"/>
              <w:rPr>
                <w:rFonts w:ascii="Tahoma" w:eastAsiaTheme="majorEastAsia" w:hAnsi="Tahoma" w:cs="Tahoma"/>
                <w:bCs/>
              </w:rPr>
            </w:pPr>
            <w:r w:rsidRPr="005B21E3">
              <w:rPr>
                <w:rFonts w:ascii="Tahoma" w:hAnsi="Tahoma" w:cs="Tahoma"/>
                <w:b/>
                <w:bCs/>
              </w:rPr>
              <w:t>Warunek równoważności</w:t>
            </w:r>
          </w:p>
        </w:tc>
      </w:tr>
      <w:tr w:rsidR="00105E16" w:rsidRPr="005B21E3" w:rsidTr="002B7300">
        <w:tc>
          <w:tcPr>
            <w:tcW w:w="525" w:type="dxa"/>
            <w:shd w:val="clear" w:color="auto" w:fill="BFBFBF" w:themeFill="background1" w:themeFillShade="BF"/>
            <w:tcMar>
              <w:top w:w="55" w:type="dxa"/>
              <w:left w:w="55" w:type="dxa"/>
              <w:bottom w:w="55" w:type="dxa"/>
              <w:right w:w="55" w:type="dxa"/>
            </w:tcMar>
          </w:tcPr>
          <w:p w:rsidR="00105E16" w:rsidRPr="005B21E3" w:rsidRDefault="00105E16"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105E16" w:rsidRPr="005B21E3" w:rsidRDefault="00105E16" w:rsidP="009E32C2">
            <w:pPr>
              <w:pStyle w:val="TableContents"/>
              <w:spacing w:line="276" w:lineRule="auto"/>
              <w:rPr>
                <w:rFonts w:ascii="Tahoma" w:hAnsi="Tahoma"/>
                <w:color w:val="000000"/>
                <w:sz w:val="22"/>
                <w:szCs w:val="22"/>
              </w:rPr>
            </w:pPr>
            <w:r w:rsidRPr="005B21E3">
              <w:rPr>
                <w:rFonts w:ascii="Tahoma" w:hAnsi="Tahoma"/>
                <w:color w:val="000000"/>
                <w:sz w:val="22"/>
                <w:szCs w:val="22"/>
              </w:rPr>
              <w:t>Współpraca z systemami operacyjnymi</w:t>
            </w:r>
            <w:r w:rsidR="009E32C2" w:rsidRPr="005B21E3">
              <w:rPr>
                <w:rFonts w:ascii="Tahoma" w:hAnsi="Tahoma"/>
                <w:color w:val="000000"/>
                <w:sz w:val="22"/>
                <w:szCs w:val="22"/>
              </w:rPr>
              <w:t xml:space="preserve"> (Microsoft Windows 7 lub nowsza wersja)</w:t>
            </w:r>
            <w:r w:rsidRPr="005B21E3">
              <w:rPr>
                <w:rFonts w:ascii="Tahoma" w:hAnsi="Tahoma"/>
                <w:color w:val="000000"/>
                <w:sz w:val="22"/>
                <w:szCs w:val="22"/>
              </w:rPr>
              <w:t xml:space="preserve"> </w:t>
            </w:r>
            <w:r w:rsidR="009E32C2" w:rsidRPr="005B21E3">
              <w:rPr>
                <w:rFonts w:ascii="Tahoma" w:hAnsi="Tahoma"/>
                <w:color w:val="000000"/>
                <w:sz w:val="22"/>
                <w:szCs w:val="22"/>
              </w:rPr>
              <w:t xml:space="preserve">oraz pakietami biurowymi (Microsoft Office 2007 lub nowsza wersja) </w:t>
            </w:r>
            <w:r w:rsidRPr="005B21E3">
              <w:rPr>
                <w:rFonts w:ascii="Tahoma" w:hAnsi="Tahoma"/>
                <w:color w:val="000000"/>
                <w:sz w:val="22"/>
                <w:szCs w:val="22"/>
              </w:rPr>
              <w:t>firmy Microsoft.</w:t>
            </w:r>
          </w:p>
        </w:tc>
      </w:tr>
      <w:tr w:rsidR="00105E16" w:rsidRPr="005B21E3" w:rsidTr="002B7300">
        <w:tc>
          <w:tcPr>
            <w:tcW w:w="525" w:type="dxa"/>
            <w:shd w:val="clear" w:color="auto" w:fill="BFBFBF" w:themeFill="background1" w:themeFillShade="BF"/>
            <w:tcMar>
              <w:top w:w="55" w:type="dxa"/>
              <w:left w:w="55" w:type="dxa"/>
              <w:bottom w:w="55" w:type="dxa"/>
              <w:right w:w="55" w:type="dxa"/>
            </w:tcMar>
          </w:tcPr>
          <w:p w:rsidR="00105E16" w:rsidRPr="005B21E3" w:rsidRDefault="00105E16"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105E16" w:rsidRPr="005B21E3" w:rsidRDefault="00105E16" w:rsidP="00077341">
            <w:pPr>
              <w:rPr>
                <w:rFonts w:ascii="Tahoma" w:hAnsi="Tahoma" w:cs="Tahoma"/>
              </w:rPr>
            </w:pPr>
            <w:r w:rsidRPr="005B21E3">
              <w:rPr>
                <w:rFonts w:ascii="Tahoma" w:hAnsi="Tahoma" w:cs="Tahoma"/>
              </w:rPr>
              <w:t>Wymagania odnośnie interfejsu użytkownika:</w:t>
            </w:r>
          </w:p>
          <w:p w:rsidR="00105E16" w:rsidRPr="005B21E3" w:rsidRDefault="00105E16" w:rsidP="0044167A">
            <w:pPr>
              <w:pStyle w:val="Akapitzlist"/>
              <w:numPr>
                <w:ilvl w:val="0"/>
                <w:numId w:val="16"/>
              </w:numPr>
              <w:spacing w:line="360" w:lineRule="auto"/>
              <w:ind w:left="790"/>
              <w:rPr>
                <w:rFonts w:ascii="Tahoma" w:hAnsi="Tahoma" w:cs="Tahoma"/>
              </w:rPr>
            </w:pPr>
            <w:r w:rsidRPr="005B21E3">
              <w:rPr>
                <w:rFonts w:ascii="Tahoma" w:hAnsi="Tahoma" w:cs="Tahoma"/>
              </w:rPr>
              <w:t>Pełna polska wersja językowa interfejsu użytkownika z możliwością przełączania wersji językowej interfejsu na język angielski,</w:t>
            </w:r>
          </w:p>
          <w:p w:rsidR="00105E16" w:rsidRPr="005B21E3" w:rsidRDefault="00105E16" w:rsidP="0044167A">
            <w:pPr>
              <w:pStyle w:val="Akapitzlist"/>
              <w:numPr>
                <w:ilvl w:val="0"/>
                <w:numId w:val="16"/>
              </w:numPr>
              <w:spacing w:line="360" w:lineRule="auto"/>
              <w:ind w:left="790"/>
              <w:rPr>
                <w:rFonts w:ascii="Tahoma" w:hAnsi="Tahoma" w:cs="Tahoma"/>
              </w:rPr>
            </w:pPr>
            <w:r w:rsidRPr="005B21E3">
              <w:rPr>
                <w:rFonts w:ascii="Tahoma" w:hAnsi="Tahoma" w:cs="Tahoma"/>
              </w:rPr>
              <w:t>Prostota i intuicyjność obsługi, pozwalająca na pracę osobom nieposiadającym umiejętności technicznych.</w:t>
            </w:r>
          </w:p>
        </w:tc>
      </w:tr>
      <w:tr w:rsidR="00105E16" w:rsidRPr="005B21E3" w:rsidTr="002B7300">
        <w:tc>
          <w:tcPr>
            <w:tcW w:w="525" w:type="dxa"/>
            <w:shd w:val="clear" w:color="auto" w:fill="BFBFBF" w:themeFill="background1" w:themeFillShade="BF"/>
            <w:tcMar>
              <w:top w:w="55" w:type="dxa"/>
              <w:left w:w="55" w:type="dxa"/>
              <w:bottom w:w="55" w:type="dxa"/>
              <w:right w:w="55" w:type="dxa"/>
            </w:tcMar>
          </w:tcPr>
          <w:p w:rsidR="00105E16" w:rsidRPr="005B21E3" w:rsidRDefault="00105E16"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2B7300" w:rsidRPr="005B21E3" w:rsidRDefault="002B7300" w:rsidP="00077341">
            <w:pPr>
              <w:rPr>
                <w:rFonts w:ascii="Tahoma" w:hAnsi="Tahoma" w:cs="Tahoma"/>
              </w:rPr>
            </w:pPr>
            <w:r w:rsidRPr="005B21E3">
              <w:rPr>
                <w:rFonts w:ascii="Tahoma" w:hAnsi="Tahoma" w:cs="Tahoma"/>
              </w:rPr>
              <w:t>Tworzenie i konwersja plików PDF:</w:t>
            </w:r>
          </w:p>
          <w:p w:rsidR="002B7300" w:rsidRPr="005B21E3" w:rsidRDefault="002B7300" w:rsidP="0044167A">
            <w:pPr>
              <w:pStyle w:val="Akapitzlist"/>
              <w:numPr>
                <w:ilvl w:val="0"/>
                <w:numId w:val="22"/>
              </w:numPr>
              <w:spacing w:line="360" w:lineRule="auto"/>
              <w:rPr>
                <w:rFonts w:ascii="Tahoma" w:hAnsi="Tahoma" w:cs="Tahoma"/>
              </w:rPr>
            </w:pPr>
            <w:r w:rsidRPr="005B21E3">
              <w:rPr>
                <w:rFonts w:ascii="Tahoma" w:hAnsi="Tahoma" w:cs="Tahoma"/>
              </w:rPr>
              <w:t>Tworzenie zgodnych ze standardami plików PDF z dowolnych aplikacji poprzez wirtualną drukarkę.</w:t>
            </w:r>
          </w:p>
          <w:p w:rsidR="002B7300" w:rsidRPr="005B21E3" w:rsidRDefault="002B7300" w:rsidP="0044167A">
            <w:pPr>
              <w:pStyle w:val="Akapitzlist"/>
              <w:numPr>
                <w:ilvl w:val="0"/>
                <w:numId w:val="20"/>
              </w:numPr>
              <w:spacing w:line="360" w:lineRule="auto"/>
              <w:rPr>
                <w:rFonts w:ascii="Tahoma" w:hAnsi="Tahoma" w:cs="Tahoma"/>
              </w:rPr>
            </w:pPr>
            <w:r w:rsidRPr="005B21E3">
              <w:rPr>
                <w:rFonts w:ascii="Tahoma" w:hAnsi="Tahoma" w:cs="Tahoma"/>
              </w:rPr>
              <w:t>Tw</w:t>
            </w:r>
            <w:r w:rsidR="009E32C2" w:rsidRPr="005B21E3">
              <w:rPr>
                <w:rFonts w:ascii="Tahoma" w:hAnsi="Tahoma" w:cs="Tahoma"/>
              </w:rPr>
              <w:t xml:space="preserve">orzenie plików PDF/A zgodnych ze standardami </w:t>
            </w:r>
            <w:r w:rsidRPr="005B21E3">
              <w:rPr>
                <w:rFonts w:ascii="Tahoma" w:hAnsi="Tahoma" w:cs="Tahoma"/>
              </w:rPr>
              <w:t>ISO i z dołączonymi czcionkami.</w:t>
            </w:r>
          </w:p>
          <w:p w:rsidR="002B7300" w:rsidRPr="005B21E3" w:rsidRDefault="002B7300" w:rsidP="0044167A">
            <w:pPr>
              <w:pStyle w:val="Akapitzlist"/>
              <w:numPr>
                <w:ilvl w:val="0"/>
                <w:numId w:val="20"/>
              </w:numPr>
              <w:spacing w:line="360" w:lineRule="auto"/>
              <w:rPr>
                <w:rFonts w:ascii="Tahoma" w:hAnsi="Tahoma" w:cs="Tahoma"/>
              </w:rPr>
            </w:pPr>
            <w:r w:rsidRPr="005B21E3">
              <w:rPr>
                <w:rFonts w:ascii="Tahoma" w:hAnsi="Tahoma" w:cs="Tahoma"/>
              </w:rPr>
              <w:t>Tworzenie plików PDF z różnych typów plików, ze skanera, pustej strony.</w:t>
            </w:r>
          </w:p>
          <w:p w:rsidR="002B7300" w:rsidRPr="005B21E3" w:rsidRDefault="002B7300" w:rsidP="0044167A">
            <w:pPr>
              <w:pStyle w:val="Akapitzlist"/>
              <w:numPr>
                <w:ilvl w:val="0"/>
                <w:numId w:val="20"/>
              </w:numPr>
              <w:spacing w:line="360" w:lineRule="auto"/>
              <w:rPr>
                <w:rFonts w:ascii="Tahoma" w:hAnsi="Tahoma" w:cs="Tahoma"/>
              </w:rPr>
            </w:pPr>
            <w:r w:rsidRPr="005B21E3">
              <w:rPr>
                <w:rFonts w:ascii="Tahoma" w:hAnsi="Tahoma" w:cs="Tahoma"/>
              </w:rPr>
              <w:t>Tworzeni</w:t>
            </w:r>
            <w:r w:rsidR="009E32C2" w:rsidRPr="005B21E3">
              <w:rPr>
                <w:rFonts w:ascii="Tahoma" w:hAnsi="Tahoma" w:cs="Tahoma"/>
              </w:rPr>
              <w:t xml:space="preserve">e plików PDF z pomocą jednego </w:t>
            </w:r>
            <w:r w:rsidRPr="005B21E3">
              <w:rPr>
                <w:rFonts w:ascii="Tahoma" w:hAnsi="Tahoma" w:cs="Tahoma"/>
              </w:rPr>
              <w:t>kliknięci</w:t>
            </w:r>
            <w:r w:rsidR="009E32C2" w:rsidRPr="005B21E3">
              <w:rPr>
                <w:rFonts w:ascii="Tahoma" w:hAnsi="Tahoma" w:cs="Tahoma"/>
              </w:rPr>
              <w:t>a</w:t>
            </w:r>
            <w:r w:rsidRPr="005B21E3">
              <w:rPr>
                <w:rFonts w:ascii="Tahoma" w:hAnsi="Tahoma" w:cs="Tahoma"/>
              </w:rPr>
              <w:t xml:space="preserve"> z </w:t>
            </w:r>
            <w:r w:rsidR="009E32C2" w:rsidRPr="005B21E3">
              <w:rPr>
                <w:rFonts w:ascii="Tahoma" w:hAnsi="Tahoma" w:cs="Tahoma"/>
              </w:rPr>
              <w:t>m.in. oprogramowania pakietu biurowego Microsoft Office (</w:t>
            </w:r>
            <w:r w:rsidRPr="005B21E3">
              <w:rPr>
                <w:rFonts w:ascii="Tahoma" w:hAnsi="Tahoma" w:cs="Tahoma"/>
              </w:rPr>
              <w:t>Word, Excel, PowerPoint</w:t>
            </w:r>
            <w:r w:rsidR="009E32C2" w:rsidRPr="005B21E3">
              <w:rPr>
                <w:rFonts w:ascii="Tahoma" w:hAnsi="Tahoma" w:cs="Tahoma"/>
              </w:rPr>
              <w:t>)</w:t>
            </w:r>
            <w:r w:rsidRPr="005B21E3">
              <w:rPr>
                <w:rFonts w:ascii="Tahoma" w:hAnsi="Tahoma" w:cs="Tahoma"/>
              </w:rPr>
              <w:t>.</w:t>
            </w:r>
          </w:p>
          <w:p w:rsidR="002B7300" w:rsidRPr="005B21E3" w:rsidRDefault="002B7300" w:rsidP="0044167A">
            <w:pPr>
              <w:pStyle w:val="Akapitzlist"/>
              <w:numPr>
                <w:ilvl w:val="0"/>
                <w:numId w:val="20"/>
              </w:numPr>
              <w:spacing w:line="360" w:lineRule="auto"/>
              <w:rPr>
                <w:rFonts w:ascii="Tahoma" w:hAnsi="Tahoma" w:cs="Tahoma"/>
              </w:rPr>
            </w:pPr>
            <w:r w:rsidRPr="005B21E3">
              <w:rPr>
                <w:rFonts w:ascii="Tahoma" w:hAnsi="Tahoma" w:cs="Tahoma"/>
              </w:rPr>
              <w:t>Konwersja plików PDF do DOC, tekstu i obrazu.</w:t>
            </w:r>
          </w:p>
        </w:tc>
      </w:tr>
      <w:tr w:rsidR="00105E16" w:rsidRPr="005B21E3" w:rsidTr="002B7300">
        <w:tc>
          <w:tcPr>
            <w:tcW w:w="525" w:type="dxa"/>
            <w:shd w:val="clear" w:color="auto" w:fill="BFBFBF" w:themeFill="background1" w:themeFillShade="BF"/>
            <w:tcMar>
              <w:top w:w="55" w:type="dxa"/>
              <w:left w:w="55" w:type="dxa"/>
              <w:bottom w:w="55" w:type="dxa"/>
              <w:right w:w="55" w:type="dxa"/>
            </w:tcMar>
          </w:tcPr>
          <w:p w:rsidR="00105E16" w:rsidRPr="005B21E3" w:rsidRDefault="00105E16"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105E16" w:rsidRPr="005B21E3" w:rsidRDefault="002B7300" w:rsidP="008F66B6">
            <w:pPr>
              <w:pStyle w:val="Textbody"/>
              <w:spacing w:line="276" w:lineRule="auto"/>
              <w:rPr>
                <w:rFonts w:ascii="Tahoma" w:hAnsi="Tahoma"/>
                <w:color w:val="000000"/>
                <w:sz w:val="22"/>
                <w:szCs w:val="22"/>
              </w:rPr>
            </w:pPr>
            <w:r w:rsidRPr="005B21E3">
              <w:rPr>
                <w:rFonts w:ascii="Tahoma" w:hAnsi="Tahoma"/>
                <w:color w:val="000000"/>
                <w:sz w:val="22"/>
                <w:szCs w:val="22"/>
              </w:rPr>
              <w:t>Przeglądanie plików PDF:</w:t>
            </w:r>
          </w:p>
          <w:p w:rsidR="002B7300" w:rsidRPr="005B21E3" w:rsidRDefault="002B7300" w:rsidP="0044167A">
            <w:pPr>
              <w:pStyle w:val="Textbody"/>
              <w:numPr>
                <w:ilvl w:val="0"/>
                <w:numId w:val="21"/>
              </w:numPr>
              <w:rPr>
                <w:rFonts w:ascii="Tahoma" w:hAnsi="Tahoma"/>
                <w:color w:val="000000"/>
                <w:sz w:val="22"/>
                <w:szCs w:val="22"/>
              </w:rPr>
            </w:pPr>
            <w:r w:rsidRPr="005B21E3">
              <w:rPr>
                <w:rFonts w:ascii="Tahoma" w:hAnsi="Tahoma"/>
                <w:color w:val="000000"/>
                <w:sz w:val="22"/>
                <w:szCs w:val="22"/>
              </w:rPr>
              <w:t>Podgląd wszystkich typów plików PDF.</w:t>
            </w:r>
          </w:p>
          <w:p w:rsidR="002B7300" w:rsidRPr="005B21E3" w:rsidRDefault="002B7300" w:rsidP="0044167A">
            <w:pPr>
              <w:pStyle w:val="Textbody"/>
              <w:numPr>
                <w:ilvl w:val="0"/>
                <w:numId w:val="21"/>
              </w:numPr>
              <w:rPr>
                <w:rFonts w:ascii="Tahoma" w:hAnsi="Tahoma"/>
                <w:color w:val="000000"/>
                <w:sz w:val="22"/>
                <w:szCs w:val="22"/>
              </w:rPr>
            </w:pPr>
            <w:r w:rsidRPr="005B21E3">
              <w:rPr>
                <w:rFonts w:ascii="Tahoma" w:hAnsi="Tahoma"/>
                <w:color w:val="000000"/>
                <w:sz w:val="22"/>
                <w:szCs w:val="22"/>
              </w:rPr>
              <w:t>Sprawdzanie poprawności podpisu cyfrowego.</w:t>
            </w:r>
          </w:p>
          <w:p w:rsidR="002B7300" w:rsidRPr="005B21E3" w:rsidRDefault="002B7300" w:rsidP="0044167A">
            <w:pPr>
              <w:pStyle w:val="Textbody"/>
              <w:numPr>
                <w:ilvl w:val="0"/>
                <w:numId w:val="21"/>
              </w:numPr>
              <w:rPr>
                <w:rFonts w:ascii="Tahoma" w:hAnsi="Tahoma"/>
                <w:color w:val="000000"/>
                <w:sz w:val="22"/>
                <w:szCs w:val="22"/>
              </w:rPr>
            </w:pPr>
            <w:r w:rsidRPr="005B21E3">
              <w:rPr>
                <w:rFonts w:ascii="Tahoma" w:hAnsi="Tahoma"/>
                <w:color w:val="000000"/>
                <w:sz w:val="22"/>
                <w:szCs w:val="22"/>
              </w:rPr>
              <w:t>Sprawdzanie poprawności PDF/A.</w:t>
            </w:r>
          </w:p>
          <w:p w:rsidR="002B7300" w:rsidRPr="005B21E3" w:rsidRDefault="002B7300" w:rsidP="0044167A">
            <w:pPr>
              <w:pStyle w:val="Textbody"/>
              <w:numPr>
                <w:ilvl w:val="0"/>
                <w:numId w:val="21"/>
              </w:numPr>
              <w:spacing w:line="276" w:lineRule="auto"/>
              <w:rPr>
                <w:rFonts w:ascii="Tahoma" w:hAnsi="Tahoma"/>
                <w:color w:val="000000"/>
                <w:sz w:val="22"/>
                <w:szCs w:val="22"/>
              </w:rPr>
            </w:pPr>
            <w:r w:rsidRPr="005B21E3">
              <w:rPr>
                <w:rFonts w:ascii="Tahoma" w:hAnsi="Tahoma"/>
                <w:color w:val="000000"/>
                <w:sz w:val="22"/>
                <w:szCs w:val="22"/>
              </w:rPr>
              <w:t>Porównywanie dokumentów.</w:t>
            </w:r>
          </w:p>
        </w:tc>
      </w:tr>
      <w:tr w:rsidR="002B7300" w:rsidRPr="005B21E3" w:rsidTr="002B7300">
        <w:tc>
          <w:tcPr>
            <w:tcW w:w="525" w:type="dxa"/>
            <w:shd w:val="clear" w:color="auto" w:fill="BFBFBF" w:themeFill="background1" w:themeFillShade="BF"/>
            <w:tcMar>
              <w:top w:w="55" w:type="dxa"/>
              <w:left w:w="55" w:type="dxa"/>
              <w:bottom w:w="55" w:type="dxa"/>
              <w:right w:w="55" w:type="dxa"/>
            </w:tcMar>
          </w:tcPr>
          <w:p w:rsidR="002B7300" w:rsidRPr="005B21E3" w:rsidRDefault="002B7300"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2B7300" w:rsidRPr="005B21E3" w:rsidRDefault="002B7300" w:rsidP="008F66B6">
            <w:pPr>
              <w:pStyle w:val="Textbody"/>
              <w:spacing w:line="276" w:lineRule="auto"/>
              <w:rPr>
                <w:rFonts w:ascii="Tahoma" w:hAnsi="Tahoma"/>
                <w:color w:val="000000"/>
                <w:sz w:val="22"/>
                <w:szCs w:val="22"/>
              </w:rPr>
            </w:pPr>
            <w:r w:rsidRPr="005B21E3">
              <w:rPr>
                <w:rFonts w:ascii="Tahoma" w:hAnsi="Tahoma"/>
                <w:color w:val="000000"/>
                <w:sz w:val="22"/>
                <w:szCs w:val="22"/>
              </w:rPr>
              <w:t>Edycja plików PDF:</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Dodawanie, edycja, usuwanie i zarządzanie łączami i zakładkami, dodawanie własnych akcji do łącz i zakładek.</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Dodawanie, edycja, usuwanie i zarządzanie obrazami i multimediami.</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Dodawanie, edycja, usuwanie i zarządzanie nagłówkiem i stopką, tłem i znakami wodnymi.</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Dodawanie, edycja, usuwanie i zarządzanie treścią i obiektami.</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Przesuwanie, zmiana rozmiaru, obracanie, przycinanie i wklejanie obiektów graficznych.</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Zarządzanie stronami w dokumencie (zmiana kolejności, dodawanie, wstawianie, wyodrębnianie, obracanie i usuwanie stron).</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Zmiana kolejności stron poprzez przeciąganie i usuwanie w panelu miniatur.</w:t>
            </w:r>
          </w:p>
          <w:p w:rsidR="002B7300" w:rsidRPr="005B21E3" w:rsidRDefault="002B7300" w:rsidP="0044167A">
            <w:pPr>
              <w:pStyle w:val="Textbody"/>
              <w:numPr>
                <w:ilvl w:val="0"/>
                <w:numId w:val="23"/>
              </w:numPr>
              <w:rPr>
                <w:rFonts w:ascii="Tahoma" w:hAnsi="Tahoma"/>
                <w:color w:val="000000"/>
                <w:sz w:val="22"/>
                <w:szCs w:val="22"/>
              </w:rPr>
            </w:pPr>
            <w:r w:rsidRPr="005B21E3">
              <w:rPr>
                <w:rFonts w:ascii="Tahoma" w:hAnsi="Tahoma"/>
                <w:color w:val="000000"/>
                <w:sz w:val="22"/>
                <w:szCs w:val="22"/>
              </w:rPr>
              <w:t>Rozpoznawanie tekstu (OCR) w celu tworzenia dokumentów</w:t>
            </w:r>
            <w:r w:rsidR="009E32C2" w:rsidRPr="005B21E3">
              <w:rPr>
                <w:rFonts w:ascii="Tahoma" w:hAnsi="Tahoma"/>
                <w:color w:val="000000"/>
                <w:sz w:val="22"/>
                <w:szCs w:val="22"/>
              </w:rPr>
              <w:t xml:space="preserve"> do wyszukiwania i zaznaczania fragmentów lub całości tekstu</w:t>
            </w:r>
            <w:r w:rsidRPr="005B21E3">
              <w:rPr>
                <w:rFonts w:ascii="Tahoma" w:hAnsi="Tahoma"/>
                <w:color w:val="000000"/>
                <w:sz w:val="22"/>
                <w:szCs w:val="22"/>
              </w:rPr>
              <w:t>.</w:t>
            </w:r>
          </w:p>
        </w:tc>
      </w:tr>
      <w:tr w:rsidR="00077341" w:rsidRPr="005B21E3" w:rsidTr="002B7300">
        <w:tc>
          <w:tcPr>
            <w:tcW w:w="525" w:type="dxa"/>
            <w:shd w:val="clear" w:color="auto" w:fill="BFBFBF" w:themeFill="background1" w:themeFillShade="BF"/>
            <w:tcMar>
              <w:top w:w="55" w:type="dxa"/>
              <w:left w:w="55" w:type="dxa"/>
              <w:bottom w:w="55" w:type="dxa"/>
              <w:right w:w="55" w:type="dxa"/>
            </w:tcMar>
          </w:tcPr>
          <w:p w:rsidR="00077341" w:rsidRPr="005B21E3" w:rsidRDefault="00077341"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077341" w:rsidRPr="005B21E3" w:rsidRDefault="00077341" w:rsidP="008F66B6">
            <w:pPr>
              <w:pStyle w:val="Textbody"/>
              <w:spacing w:line="276" w:lineRule="auto"/>
              <w:rPr>
                <w:rFonts w:ascii="Tahoma" w:hAnsi="Tahoma"/>
                <w:color w:val="000000"/>
                <w:sz w:val="22"/>
                <w:szCs w:val="22"/>
              </w:rPr>
            </w:pPr>
            <w:r w:rsidRPr="005B21E3">
              <w:rPr>
                <w:rFonts w:ascii="Tahoma" w:hAnsi="Tahoma"/>
                <w:color w:val="000000"/>
                <w:sz w:val="22"/>
                <w:szCs w:val="22"/>
              </w:rPr>
              <w:t>Komentarze w plikach PDF:</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Dodawanie, zarządzanie, podgląd i nawigowanie komentarzami w dokumencie.</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Rozbudowane możliwości edycyjne komentarzy (notatki, pola tekstowe, podkreślenia, linie, prostokąty, dymki itp.).</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Narzędzie do pomiaru odległości.</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Dołączanie plików do notatek.</w:t>
            </w:r>
          </w:p>
          <w:p w:rsidR="00077341" w:rsidRPr="005B21E3" w:rsidRDefault="00077341" w:rsidP="0044167A">
            <w:pPr>
              <w:pStyle w:val="Textbody"/>
              <w:numPr>
                <w:ilvl w:val="0"/>
                <w:numId w:val="24"/>
              </w:numPr>
              <w:rPr>
                <w:rFonts w:ascii="Tahoma" w:hAnsi="Tahoma"/>
                <w:color w:val="000000"/>
                <w:sz w:val="22"/>
                <w:szCs w:val="22"/>
              </w:rPr>
            </w:pPr>
            <w:r w:rsidRPr="005B21E3">
              <w:rPr>
                <w:rFonts w:ascii="Tahoma" w:hAnsi="Tahoma"/>
                <w:color w:val="000000"/>
                <w:sz w:val="22"/>
                <w:szCs w:val="22"/>
              </w:rPr>
              <w:t>Zarządzanie bibliotekami obiektów.</w:t>
            </w:r>
          </w:p>
          <w:p w:rsidR="00077341" w:rsidRPr="005B21E3" w:rsidRDefault="00077341" w:rsidP="0044167A">
            <w:pPr>
              <w:pStyle w:val="Textbody"/>
              <w:numPr>
                <w:ilvl w:val="0"/>
                <w:numId w:val="24"/>
              </w:numPr>
              <w:spacing w:line="276" w:lineRule="auto"/>
              <w:rPr>
                <w:rFonts w:ascii="Tahoma" w:hAnsi="Tahoma"/>
                <w:color w:val="000000"/>
                <w:sz w:val="22"/>
                <w:szCs w:val="22"/>
              </w:rPr>
            </w:pPr>
            <w:r w:rsidRPr="005B21E3">
              <w:rPr>
                <w:rFonts w:ascii="Tahoma" w:hAnsi="Tahoma"/>
                <w:color w:val="000000"/>
                <w:sz w:val="22"/>
                <w:szCs w:val="22"/>
              </w:rPr>
              <w:t>Import/eksport komentarzy i podsumowania komentarzy.</w:t>
            </w:r>
          </w:p>
        </w:tc>
      </w:tr>
      <w:tr w:rsidR="00077341" w:rsidRPr="005B21E3" w:rsidTr="002B7300">
        <w:tc>
          <w:tcPr>
            <w:tcW w:w="525" w:type="dxa"/>
            <w:shd w:val="clear" w:color="auto" w:fill="BFBFBF" w:themeFill="background1" w:themeFillShade="BF"/>
            <w:tcMar>
              <w:top w:w="55" w:type="dxa"/>
              <w:left w:w="55" w:type="dxa"/>
              <w:bottom w:w="55" w:type="dxa"/>
              <w:right w:w="55" w:type="dxa"/>
            </w:tcMar>
          </w:tcPr>
          <w:p w:rsidR="00077341" w:rsidRPr="005B21E3" w:rsidRDefault="00077341"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077341" w:rsidRPr="005B21E3" w:rsidRDefault="00077341" w:rsidP="008F66B6">
            <w:pPr>
              <w:pStyle w:val="Textbody"/>
              <w:spacing w:line="276" w:lineRule="auto"/>
              <w:rPr>
                <w:rFonts w:ascii="Tahoma" w:hAnsi="Tahoma"/>
                <w:color w:val="000000"/>
                <w:sz w:val="22"/>
                <w:szCs w:val="22"/>
              </w:rPr>
            </w:pPr>
            <w:r w:rsidRPr="005B21E3">
              <w:rPr>
                <w:rFonts w:ascii="Tahoma" w:hAnsi="Tahoma"/>
                <w:color w:val="000000"/>
                <w:sz w:val="22"/>
                <w:szCs w:val="22"/>
              </w:rPr>
              <w:t>Formularze w plikach PDF:</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Wypełnianie i zapis formularzy, także XFA.</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Import/eksport danych z/do formularza, resetowanie pól.</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Wsparcie dla JavaScript.</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 xml:space="preserve">Rysowanie i edycja kontrolek (pola tekstowe, przyciski, listy, </w:t>
            </w:r>
            <w:proofErr w:type="spellStart"/>
            <w:r w:rsidRPr="005B21E3">
              <w:rPr>
                <w:rFonts w:ascii="Tahoma" w:hAnsi="Tahoma"/>
                <w:color w:val="000000"/>
                <w:sz w:val="22"/>
                <w:szCs w:val="22"/>
              </w:rPr>
              <w:t>checkboxy</w:t>
            </w:r>
            <w:proofErr w:type="spellEnd"/>
            <w:r w:rsidRPr="005B21E3">
              <w:rPr>
                <w:rFonts w:ascii="Tahoma" w:hAnsi="Tahoma"/>
                <w:color w:val="000000"/>
                <w:sz w:val="22"/>
                <w:szCs w:val="22"/>
              </w:rPr>
              <w:t>, podpisy).</w:t>
            </w:r>
          </w:p>
          <w:p w:rsidR="00077341" w:rsidRPr="005B21E3" w:rsidRDefault="00077341" w:rsidP="0044167A">
            <w:pPr>
              <w:pStyle w:val="Textbody"/>
              <w:numPr>
                <w:ilvl w:val="0"/>
                <w:numId w:val="25"/>
              </w:numPr>
              <w:spacing w:line="276" w:lineRule="auto"/>
              <w:rPr>
                <w:rFonts w:ascii="Tahoma" w:hAnsi="Tahoma"/>
                <w:color w:val="000000"/>
                <w:sz w:val="22"/>
                <w:szCs w:val="22"/>
              </w:rPr>
            </w:pPr>
            <w:r w:rsidRPr="005B21E3">
              <w:rPr>
                <w:rFonts w:ascii="Tahoma" w:hAnsi="Tahoma"/>
                <w:color w:val="000000"/>
                <w:sz w:val="22"/>
                <w:szCs w:val="22"/>
              </w:rPr>
              <w:t>Edycja statycznych formularzy XFA.</w:t>
            </w:r>
          </w:p>
        </w:tc>
      </w:tr>
      <w:tr w:rsidR="00077341" w:rsidRPr="005B21E3" w:rsidTr="002B7300">
        <w:tc>
          <w:tcPr>
            <w:tcW w:w="525" w:type="dxa"/>
            <w:shd w:val="clear" w:color="auto" w:fill="BFBFBF" w:themeFill="background1" w:themeFillShade="BF"/>
            <w:tcMar>
              <w:top w:w="55" w:type="dxa"/>
              <w:left w:w="55" w:type="dxa"/>
              <w:bottom w:w="55" w:type="dxa"/>
              <w:right w:w="55" w:type="dxa"/>
            </w:tcMar>
          </w:tcPr>
          <w:p w:rsidR="00077341" w:rsidRPr="005B21E3" w:rsidRDefault="00077341" w:rsidP="0044167A">
            <w:pPr>
              <w:pStyle w:val="Akapitzlist"/>
              <w:numPr>
                <w:ilvl w:val="0"/>
                <w:numId w:val="18"/>
              </w:numPr>
              <w:spacing w:after="0"/>
              <w:jc w:val="both"/>
              <w:rPr>
                <w:rFonts w:ascii="Tahoma" w:eastAsiaTheme="majorEastAsia" w:hAnsi="Tahoma" w:cs="Tahoma"/>
                <w:bCs/>
              </w:rPr>
            </w:pPr>
          </w:p>
        </w:tc>
        <w:tc>
          <w:tcPr>
            <w:tcW w:w="9120" w:type="dxa"/>
            <w:tcMar>
              <w:top w:w="55" w:type="dxa"/>
              <w:left w:w="55" w:type="dxa"/>
              <w:bottom w:w="55" w:type="dxa"/>
              <w:right w:w="55" w:type="dxa"/>
            </w:tcMar>
            <w:vAlign w:val="center"/>
          </w:tcPr>
          <w:p w:rsidR="00077341" w:rsidRPr="005B21E3" w:rsidRDefault="00077341" w:rsidP="008F66B6">
            <w:pPr>
              <w:pStyle w:val="Textbody"/>
              <w:spacing w:line="276" w:lineRule="auto"/>
              <w:rPr>
                <w:rFonts w:ascii="Tahoma" w:hAnsi="Tahoma"/>
                <w:color w:val="000000"/>
                <w:sz w:val="22"/>
                <w:szCs w:val="22"/>
              </w:rPr>
            </w:pPr>
            <w:r w:rsidRPr="005B21E3">
              <w:rPr>
                <w:rFonts w:ascii="Tahoma" w:hAnsi="Tahoma"/>
                <w:color w:val="000000"/>
                <w:sz w:val="22"/>
                <w:szCs w:val="22"/>
              </w:rPr>
              <w:t>Bezpieczeństwo plików PDF:</w:t>
            </w:r>
          </w:p>
          <w:p w:rsidR="00077341" w:rsidRPr="005B21E3" w:rsidRDefault="00077341" w:rsidP="0044167A">
            <w:pPr>
              <w:pStyle w:val="Textbody"/>
              <w:numPr>
                <w:ilvl w:val="0"/>
                <w:numId w:val="26"/>
              </w:numPr>
              <w:rPr>
                <w:rFonts w:ascii="Tahoma" w:hAnsi="Tahoma"/>
                <w:color w:val="000000"/>
                <w:sz w:val="22"/>
                <w:szCs w:val="22"/>
              </w:rPr>
            </w:pPr>
            <w:r w:rsidRPr="005B21E3">
              <w:rPr>
                <w:rFonts w:ascii="Tahoma" w:hAnsi="Tahoma"/>
                <w:color w:val="000000"/>
                <w:sz w:val="22"/>
                <w:szCs w:val="22"/>
              </w:rPr>
              <w:t>Dodawanie, edycja, usuwanie i zarządzanie hasłami i uprawnieniami w plikach PDF.</w:t>
            </w:r>
          </w:p>
          <w:p w:rsidR="00077341" w:rsidRPr="005B21E3" w:rsidRDefault="00077341" w:rsidP="0044167A">
            <w:pPr>
              <w:pStyle w:val="Textbody"/>
              <w:numPr>
                <w:ilvl w:val="0"/>
                <w:numId w:val="26"/>
              </w:numPr>
              <w:rPr>
                <w:rFonts w:ascii="Tahoma" w:hAnsi="Tahoma"/>
                <w:color w:val="000000"/>
                <w:sz w:val="22"/>
                <w:szCs w:val="22"/>
              </w:rPr>
            </w:pPr>
            <w:r w:rsidRPr="005B21E3">
              <w:rPr>
                <w:rFonts w:ascii="Tahoma" w:hAnsi="Tahoma"/>
                <w:color w:val="000000"/>
                <w:sz w:val="22"/>
                <w:szCs w:val="22"/>
              </w:rPr>
              <w:t>Dodawanie, edycja, usuwanie i zarządzanie podpisami cyfrowymi w plikach PDF.</w:t>
            </w:r>
          </w:p>
          <w:p w:rsidR="00077341" w:rsidRPr="005B21E3" w:rsidRDefault="00077341" w:rsidP="0044167A">
            <w:pPr>
              <w:pStyle w:val="Textbody"/>
              <w:numPr>
                <w:ilvl w:val="0"/>
                <w:numId w:val="26"/>
              </w:numPr>
              <w:rPr>
                <w:rFonts w:ascii="Tahoma" w:hAnsi="Tahoma"/>
                <w:color w:val="000000"/>
                <w:sz w:val="22"/>
                <w:szCs w:val="22"/>
              </w:rPr>
            </w:pPr>
            <w:r w:rsidRPr="005B21E3">
              <w:rPr>
                <w:rFonts w:ascii="Tahoma" w:hAnsi="Tahoma"/>
                <w:color w:val="000000"/>
                <w:sz w:val="22"/>
                <w:szCs w:val="22"/>
              </w:rPr>
              <w:t>Dodawanie, edycja, usuwanie i zarządzanie zasadami bezpieczeństwa.</w:t>
            </w:r>
          </w:p>
          <w:p w:rsidR="00077341" w:rsidRPr="005B21E3" w:rsidRDefault="00077341" w:rsidP="0044167A">
            <w:pPr>
              <w:pStyle w:val="Textbody"/>
              <w:numPr>
                <w:ilvl w:val="0"/>
                <w:numId w:val="26"/>
              </w:numPr>
              <w:spacing w:line="276" w:lineRule="auto"/>
              <w:rPr>
                <w:rFonts w:ascii="Tahoma" w:hAnsi="Tahoma"/>
                <w:color w:val="000000"/>
                <w:sz w:val="22"/>
                <w:szCs w:val="22"/>
              </w:rPr>
            </w:pPr>
            <w:r w:rsidRPr="005B21E3">
              <w:rPr>
                <w:rFonts w:ascii="Tahoma" w:hAnsi="Tahoma"/>
                <w:color w:val="000000"/>
                <w:sz w:val="22"/>
                <w:szCs w:val="22"/>
              </w:rPr>
              <w:t>Dodawanie, edycja, usuwanie i zarządzanie certyfikatami i uprawnieniami w plikach PDF.</w:t>
            </w:r>
          </w:p>
        </w:tc>
      </w:tr>
    </w:tbl>
    <w:p w:rsidR="00105E16" w:rsidRPr="005B21E3" w:rsidRDefault="00105E16" w:rsidP="009E32C2">
      <w:pPr>
        <w:jc w:val="both"/>
        <w:rPr>
          <w:rFonts w:ascii="Tahoma" w:eastAsiaTheme="majorEastAsia" w:hAnsi="Tahoma" w:cs="Tahoma"/>
          <w:bCs/>
        </w:rPr>
      </w:pPr>
    </w:p>
    <w:p w:rsidR="00FD11BB" w:rsidRPr="005B21E3" w:rsidRDefault="00FD11BB" w:rsidP="00A26792">
      <w:pPr>
        <w:pStyle w:val="Nagwek3"/>
        <w:numPr>
          <w:ilvl w:val="2"/>
          <w:numId w:val="1"/>
        </w:numPr>
        <w:rPr>
          <w:rFonts w:ascii="Tahoma" w:hAnsi="Tahoma" w:cs="Tahoma"/>
          <w:szCs w:val="22"/>
        </w:rPr>
      </w:pPr>
      <w:r w:rsidRPr="005B21E3">
        <w:rPr>
          <w:rFonts w:ascii="Tahoma" w:hAnsi="Tahoma" w:cs="Tahoma"/>
          <w:szCs w:val="22"/>
        </w:rPr>
        <w:t xml:space="preserve">Oprogramowanie edytorskie ABC PRO Legislator Standard lub </w:t>
      </w:r>
      <w:r w:rsidR="00466F0C" w:rsidRPr="005B21E3">
        <w:rPr>
          <w:rFonts w:ascii="Tahoma" w:hAnsi="Tahoma" w:cs="Tahoma"/>
          <w:szCs w:val="22"/>
        </w:rPr>
        <w:t xml:space="preserve">produkt </w:t>
      </w:r>
      <w:r w:rsidRPr="005B21E3">
        <w:rPr>
          <w:rFonts w:ascii="Tahoma" w:hAnsi="Tahoma" w:cs="Tahoma"/>
          <w:szCs w:val="22"/>
        </w:rPr>
        <w:t xml:space="preserve">równoważny: </w:t>
      </w:r>
    </w:p>
    <w:p w:rsidR="00FD11BB" w:rsidRPr="005B21E3" w:rsidRDefault="00FD11BB" w:rsidP="00FD11BB">
      <w:pPr>
        <w:ind w:left="11"/>
        <w:jc w:val="both"/>
        <w:rPr>
          <w:rFonts w:ascii="Tahoma" w:eastAsiaTheme="majorEastAsia" w:hAnsi="Tahoma" w:cs="Tahoma"/>
          <w:bCs/>
        </w:rPr>
      </w:pPr>
      <w:r w:rsidRPr="005B21E3">
        <w:rPr>
          <w:rFonts w:ascii="Tahoma" w:eastAsiaTheme="majorEastAsia" w:hAnsi="Tahoma" w:cs="Tahoma"/>
          <w:b/>
          <w:bCs/>
        </w:rPr>
        <w:t>1 licencja</w:t>
      </w:r>
      <w:r w:rsidRPr="005B21E3">
        <w:rPr>
          <w:rFonts w:ascii="Tahoma" w:eastAsiaTheme="majorEastAsia" w:hAnsi="Tahoma" w:cs="Tahoma"/>
          <w:bCs/>
        </w:rPr>
        <w:t xml:space="preserve"> stanowiskowa, na nośniku CD/DVD lub udostępnienie oprogramowania drogą elektroniczną poprzez dostęp do strony internetowej zawierającej dane oprogramowanie. Licencja typu „dla obecnego klienta” – przedłużenie 12 miesięcznej subskrypcji.</w:t>
      </w:r>
    </w:p>
    <w:tbl>
      <w:tblPr>
        <w:tblW w:w="96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FD11BB" w:rsidRPr="005B21E3" w:rsidTr="008F66B6">
        <w:trPr>
          <w:trHeight w:val="426"/>
          <w:tblHeader/>
        </w:trPr>
        <w:tc>
          <w:tcPr>
            <w:tcW w:w="525" w:type="dxa"/>
            <w:shd w:val="clear" w:color="auto" w:fill="BFBFBF" w:themeFill="background1" w:themeFillShade="BF"/>
            <w:tcMar>
              <w:top w:w="55" w:type="dxa"/>
              <w:left w:w="55" w:type="dxa"/>
              <w:bottom w:w="55" w:type="dxa"/>
              <w:right w:w="55" w:type="dxa"/>
            </w:tcMar>
            <w:vAlign w:val="center"/>
            <w:hideMark/>
          </w:tcPr>
          <w:p w:rsidR="00FD11BB" w:rsidRPr="005B21E3" w:rsidRDefault="00FD11BB" w:rsidP="008F66B6">
            <w:pPr>
              <w:autoSpaceDE w:val="0"/>
              <w:autoSpaceDN w:val="0"/>
              <w:adjustRightInd w:val="0"/>
              <w:jc w:val="both"/>
              <w:rPr>
                <w:rFonts w:ascii="Tahoma" w:hAnsi="Tahoma" w:cs="Tahoma"/>
                <w:b/>
                <w:bCs/>
              </w:rPr>
            </w:pPr>
            <w:r w:rsidRPr="005B21E3">
              <w:rPr>
                <w:rFonts w:ascii="Tahoma" w:hAnsi="Tahoma" w:cs="Tahoma"/>
                <w:b/>
                <w:bCs/>
              </w:rPr>
              <w:t xml:space="preserve">Lp. </w:t>
            </w:r>
          </w:p>
        </w:tc>
        <w:tc>
          <w:tcPr>
            <w:tcW w:w="9120" w:type="dxa"/>
            <w:shd w:val="clear" w:color="auto" w:fill="BFBFBF" w:themeFill="background1" w:themeFillShade="BF"/>
            <w:tcMar>
              <w:top w:w="55" w:type="dxa"/>
              <w:left w:w="55" w:type="dxa"/>
              <w:bottom w:w="55" w:type="dxa"/>
              <w:right w:w="55" w:type="dxa"/>
            </w:tcMar>
            <w:vAlign w:val="center"/>
            <w:hideMark/>
          </w:tcPr>
          <w:p w:rsidR="00FD11BB" w:rsidRPr="005B21E3" w:rsidRDefault="00FD11BB" w:rsidP="008F66B6">
            <w:pPr>
              <w:jc w:val="both"/>
              <w:rPr>
                <w:rFonts w:ascii="Tahoma" w:eastAsiaTheme="majorEastAsia" w:hAnsi="Tahoma" w:cs="Tahoma"/>
                <w:bCs/>
              </w:rPr>
            </w:pPr>
            <w:r w:rsidRPr="005B21E3">
              <w:rPr>
                <w:rFonts w:ascii="Tahoma" w:hAnsi="Tahoma" w:cs="Tahoma"/>
                <w:b/>
                <w:bCs/>
              </w:rPr>
              <w:t>Warunek równoważności</w:t>
            </w:r>
          </w:p>
        </w:tc>
      </w:tr>
      <w:tr w:rsidR="00FD11BB" w:rsidRPr="005B21E3" w:rsidTr="008F66B6">
        <w:tc>
          <w:tcPr>
            <w:tcW w:w="525" w:type="dxa"/>
            <w:shd w:val="clear" w:color="auto" w:fill="BFBFBF" w:themeFill="background1" w:themeFillShade="BF"/>
            <w:tcMar>
              <w:top w:w="55" w:type="dxa"/>
              <w:left w:w="55" w:type="dxa"/>
              <w:bottom w:w="55" w:type="dxa"/>
              <w:right w:w="55" w:type="dxa"/>
            </w:tcMar>
          </w:tcPr>
          <w:p w:rsidR="00FD11BB" w:rsidRPr="005B21E3" w:rsidRDefault="00FD11BB" w:rsidP="0044167A">
            <w:pPr>
              <w:pStyle w:val="Akapitzlist"/>
              <w:numPr>
                <w:ilvl w:val="0"/>
                <w:numId w:val="27"/>
              </w:numPr>
              <w:spacing w:after="0"/>
              <w:jc w:val="both"/>
              <w:rPr>
                <w:rFonts w:ascii="Tahoma" w:eastAsiaTheme="majorEastAsia" w:hAnsi="Tahoma" w:cs="Tahoma"/>
                <w:bCs/>
              </w:rPr>
            </w:pPr>
          </w:p>
        </w:tc>
        <w:tc>
          <w:tcPr>
            <w:tcW w:w="9120" w:type="dxa"/>
            <w:tcMar>
              <w:top w:w="55" w:type="dxa"/>
              <w:left w:w="55" w:type="dxa"/>
              <w:bottom w:w="55" w:type="dxa"/>
              <w:right w:w="55" w:type="dxa"/>
            </w:tcMar>
          </w:tcPr>
          <w:p w:rsidR="00FD11BB" w:rsidRPr="005B21E3" w:rsidRDefault="00FD11BB" w:rsidP="00FD11BB">
            <w:pPr>
              <w:rPr>
                <w:rFonts w:ascii="Tahoma" w:hAnsi="Tahoma" w:cs="Tahoma"/>
              </w:rPr>
            </w:pPr>
            <w:r w:rsidRPr="005B21E3">
              <w:rPr>
                <w:rFonts w:ascii="Tahoma" w:hAnsi="Tahoma" w:cs="Tahoma"/>
              </w:rPr>
              <w:t>Kompatybilność: oprogramowanie typu edytor XML w 100% poprawnie obsługujący w trybie edycji tekstu strukturalnego w formacie XML dla aktów prawnych.</w:t>
            </w:r>
          </w:p>
        </w:tc>
      </w:tr>
      <w:tr w:rsidR="00FD11BB" w:rsidRPr="005B21E3" w:rsidTr="008F66B6">
        <w:tc>
          <w:tcPr>
            <w:tcW w:w="525" w:type="dxa"/>
            <w:shd w:val="clear" w:color="auto" w:fill="BFBFBF" w:themeFill="background1" w:themeFillShade="BF"/>
            <w:tcMar>
              <w:top w:w="55" w:type="dxa"/>
              <w:left w:w="55" w:type="dxa"/>
              <w:bottom w:w="55" w:type="dxa"/>
              <w:right w:w="55" w:type="dxa"/>
            </w:tcMar>
          </w:tcPr>
          <w:p w:rsidR="00FD11BB" w:rsidRPr="005B21E3" w:rsidRDefault="00FD11BB" w:rsidP="0044167A">
            <w:pPr>
              <w:pStyle w:val="Akapitzlist"/>
              <w:numPr>
                <w:ilvl w:val="0"/>
                <w:numId w:val="27"/>
              </w:numPr>
              <w:spacing w:after="0"/>
              <w:jc w:val="both"/>
              <w:rPr>
                <w:rFonts w:ascii="Tahoma" w:eastAsiaTheme="majorEastAsia" w:hAnsi="Tahoma" w:cs="Tahoma"/>
                <w:bCs/>
              </w:rPr>
            </w:pPr>
          </w:p>
        </w:tc>
        <w:tc>
          <w:tcPr>
            <w:tcW w:w="9120" w:type="dxa"/>
            <w:tcMar>
              <w:top w:w="55" w:type="dxa"/>
              <w:left w:w="55" w:type="dxa"/>
              <w:bottom w:w="55" w:type="dxa"/>
              <w:right w:w="55" w:type="dxa"/>
            </w:tcMar>
          </w:tcPr>
          <w:p w:rsidR="00FD11BB" w:rsidRPr="005B21E3" w:rsidRDefault="00FD11BB" w:rsidP="00FD11BB">
            <w:pPr>
              <w:rPr>
                <w:rFonts w:ascii="Tahoma" w:hAnsi="Tahoma" w:cs="Tahoma"/>
              </w:rPr>
            </w:pPr>
            <w:r w:rsidRPr="005B21E3">
              <w:rPr>
                <w:rFonts w:ascii="Tahoma" w:hAnsi="Tahoma" w:cs="Tahoma"/>
              </w:rPr>
              <w:t>Możliwość opatrywania dowolnych aktów prawnych XML bezpiecznym podpisem elektronicznym walidowanym za pomocą kwalifikowanego certyfikatu bezpośrednio w edytorze bez konieczności używania do tego dodatkowych aplikacji.</w:t>
            </w:r>
          </w:p>
        </w:tc>
      </w:tr>
      <w:tr w:rsidR="00FD11BB" w:rsidRPr="005B21E3" w:rsidTr="008F66B6">
        <w:tc>
          <w:tcPr>
            <w:tcW w:w="525" w:type="dxa"/>
            <w:shd w:val="clear" w:color="auto" w:fill="BFBFBF" w:themeFill="background1" w:themeFillShade="BF"/>
            <w:tcMar>
              <w:top w:w="55" w:type="dxa"/>
              <w:left w:w="55" w:type="dxa"/>
              <w:bottom w:w="55" w:type="dxa"/>
              <w:right w:w="55" w:type="dxa"/>
            </w:tcMar>
          </w:tcPr>
          <w:p w:rsidR="00FD11BB" w:rsidRPr="005B21E3" w:rsidRDefault="00FD11BB" w:rsidP="0044167A">
            <w:pPr>
              <w:pStyle w:val="Akapitzlist"/>
              <w:numPr>
                <w:ilvl w:val="0"/>
                <w:numId w:val="27"/>
              </w:numPr>
              <w:spacing w:after="0"/>
              <w:jc w:val="both"/>
              <w:rPr>
                <w:rFonts w:ascii="Tahoma" w:eastAsiaTheme="majorEastAsia" w:hAnsi="Tahoma" w:cs="Tahoma"/>
                <w:bCs/>
              </w:rPr>
            </w:pPr>
          </w:p>
        </w:tc>
        <w:tc>
          <w:tcPr>
            <w:tcW w:w="9120" w:type="dxa"/>
            <w:tcMar>
              <w:top w:w="55" w:type="dxa"/>
              <w:left w:w="55" w:type="dxa"/>
              <w:bottom w:w="55" w:type="dxa"/>
              <w:right w:w="55" w:type="dxa"/>
            </w:tcMar>
          </w:tcPr>
          <w:p w:rsidR="00FD11BB" w:rsidRPr="005B21E3" w:rsidRDefault="00FD11BB" w:rsidP="00FD11BB">
            <w:pPr>
              <w:rPr>
                <w:rFonts w:ascii="Tahoma" w:hAnsi="Tahoma" w:cs="Tahoma"/>
              </w:rPr>
            </w:pPr>
            <w:r w:rsidRPr="005B21E3">
              <w:rPr>
                <w:rFonts w:ascii="Tahoma" w:hAnsi="Tahoma" w:cs="Tahoma"/>
              </w:rPr>
              <w:t>Kompatybilny z systemami operacyjnymi i oprogramowaniem biurowym użytkowanymi przez Zamawiającego (tj. Microsoft Windows 7, Microsoft Office 2010/2013).</w:t>
            </w:r>
          </w:p>
        </w:tc>
      </w:tr>
    </w:tbl>
    <w:p w:rsidR="00466F0C" w:rsidRPr="005B21E3" w:rsidRDefault="00466F0C">
      <w:pPr>
        <w:rPr>
          <w:rFonts w:ascii="Tahoma" w:eastAsiaTheme="majorEastAsia" w:hAnsi="Tahoma" w:cs="Tahoma"/>
          <w:bCs/>
        </w:rPr>
      </w:pPr>
    </w:p>
    <w:p w:rsidR="00427EA6" w:rsidRPr="005B21E3" w:rsidRDefault="00427EA6" w:rsidP="00A26792">
      <w:pPr>
        <w:pStyle w:val="Nagwek1"/>
        <w:rPr>
          <w:rFonts w:cs="Tahoma"/>
          <w:bCs w:val="0"/>
        </w:rPr>
      </w:pPr>
      <w:r w:rsidRPr="005B21E3">
        <w:rPr>
          <w:rFonts w:cs="Tahoma"/>
          <w:bCs w:val="0"/>
        </w:rPr>
        <w:t>Jeśli udostępnienie oprogramowania będzie odbywać się poprzez dostęp do strony internetowej to Wykonawca zobowiązany jest podać dokładny adres tej strony w opisi</w:t>
      </w:r>
      <w:r w:rsidR="00D37EEB">
        <w:rPr>
          <w:rFonts w:cs="Tahoma"/>
          <w:bCs w:val="0"/>
        </w:rPr>
        <w:t>e szczegółowym zawartym w TABELACH</w:t>
      </w:r>
      <w:r w:rsidRPr="005B21E3">
        <w:rPr>
          <w:rFonts w:cs="Tahoma"/>
          <w:bCs w:val="0"/>
        </w:rPr>
        <w:t xml:space="preserve"> NR 1</w:t>
      </w:r>
      <w:r w:rsidR="00D37EEB">
        <w:rPr>
          <w:rFonts w:cs="Tahoma"/>
          <w:bCs w:val="0"/>
        </w:rPr>
        <w:t>, 3, 5</w:t>
      </w:r>
      <w:r w:rsidRPr="005B21E3">
        <w:rPr>
          <w:rFonts w:cs="Tahoma"/>
          <w:bCs w:val="0"/>
        </w:rPr>
        <w:t xml:space="preserve"> w Formularzu Ofertowym stanowiącym Załącznik nr 1 do SIWZ.</w:t>
      </w:r>
    </w:p>
    <w:p w:rsidR="0049450F" w:rsidRPr="005B21E3" w:rsidRDefault="003F3557" w:rsidP="00A26792">
      <w:pPr>
        <w:pStyle w:val="Nagwek1"/>
        <w:numPr>
          <w:ilvl w:val="0"/>
          <w:numId w:val="1"/>
        </w:numPr>
        <w:jc w:val="both"/>
        <w:rPr>
          <w:rFonts w:cs="Tahoma"/>
        </w:rPr>
      </w:pPr>
      <w:r w:rsidRPr="005B21E3">
        <w:rPr>
          <w:rFonts w:cs="Tahoma"/>
        </w:rPr>
        <w:t>Wymagania i informa</w:t>
      </w:r>
      <w:r w:rsidR="00456E42" w:rsidRPr="005B21E3">
        <w:rPr>
          <w:rFonts w:cs="Tahoma"/>
        </w:rPr>
        <w:t>cje dodatkowe dotyczące przedmiotu zamówienia</w:t>
      </w:r>
      <w:r w:rsidRPr="005B21E3">
        <w:rPr>
          <w:rFonts w:cs="Tahoma"/>
        </w:rPr>
        <w:t xml:space="preserve">: </w:t>
      </w:r>
    </w:p>
    <w:p w:rsidR="00F76230" w:rsidRPr="005B21E3" w:rsidRDefault="00F76230" w:rsidP="0044167A">
      <w:pPr>
        <w:pStyle w:val="Akapitzlist"/>
        <w:numPr>
          <w:ilvl w:val="0"/>
          <w:numId w:val="2"/>
        </w:numPr>
        <w:tabs>
          <w:tab w:val="left" w:pos="851"/>
        </w:tabs>
        <w:spacing w:after="0"/>
        <w:ind w:right="-1"/>
        <w:jc w:val="both"/>
        <w:rPr>
          <w:rFonts w:ascii="Tahoma" w:hAnsi="Tahoma" w:cs="Tahoma"/>
        </w:rPr>
      </w:pPr>
      <w:r w:rsidRPr="005B21E3">
        <w:rPr>
          <w:rFonts w:ascii="Tahoma" w:hAnsi="Tahoma" w:cs="Tahoma"/>
        </w:rPr>
        <w:t xml:space="preserve">Zamawiający dopuszcza możliwość dostarczenia oprogramowania w wersji najnowszej dostępnej na rynku. </w:t>
      </w:r>
    </w:p>
    <w:p w:rsidR="00F76230" w:rsidRPr="005B21E3" w:rsidRDefault="00F76230" w:rsidP="0044167A">
      <w:pPr>
        <w:pStyle w:val="Akapitzlist"/>
        <w:numPr>
          <w:ilvl w:val="0"/>
          <w:numId w:val="2"/>
        </w:numPr>
        <w:tabs>
          <w:tab w:val="left" w:pos="851"/>
        </w:tabs>
        <w:spacing w:after="0"/>
        <w:ind w:right="-1"/>
        <w:jc w:val="both"/>
        <w:rPr>
          <w:rFonts w:ascii="Tahoma" w:hAnsi="Tahoma" w:cs="Tahoma"/>
        </w:rPr>
      </w:pPr>
      <w:r w:rsidRPr="005B21E3">
        <w:rPr>
          <w:rFonts w:ascii="Tahoma" w:hAnsi="Tahoma" w:cs="Tahoma"/>
        </w:rPr>
        <w:t>Dopuszcza się zaoferowanie produktów równoważnych do oprogramowani wskazanych w punkcie 1.</w:t>
      </w:r>
      <w:r w:rsidR="009318E9" w:rsidRPr="005B21E3">
        <w:rPr>
          <w:rFonts w:ascii="Tahoma" w:hAnsi="Tahoma" w:cs="Tahoma"/>
        </w:rPr>
        <w:t>1</w:t>
      </w:r>
      <w:r w:rsidRPr="005B21E3">
        <w:rPr>
          <w:rFonts w:ascii="Tahoma" w:hAnsi="Tahoma" w:cs="Tahoma"/>
        </w:rPr>
        <w:t xml:space="preserve"> niniejszego OPZ. Równoważność oznacza, że: </w:t>
      </w:r>
    </w:p>
    <w:p w:rsidR="00F76230" w:rsidRPr="005B21E3" w:rsidRDefault="00F76230" w:rsidP="0044167A">
      <w:pPr>
        <w:pStyle w:val="Akapitzlist"/>
        <w:numPr>
          <w:ilvl w:val="1"/>
          <w:numId w:val="2"/>
        </w:numPr>
        <w:tabs>
          <w:tab w:val="left" w:pos="851"/>
        </w:tabs>
        <w:spacing w:after="0"/>
        <w:ind w:right="-1"/>
        <w:jc w:val="both"/>
        <w:rPr>
          <w:rFonts w:ascii="Tahoma" w:hAnsi="Tahoma" w:cs="Tahoma"/>
        </w:rPr>
      </w:pPr>
      <w:r w:rsidRPr="005B21E3">
        <w:rPr>
          <w:rFonts w:ascii="Tahoma" w:hAnsi="Tahoma" w:cs="Tahoma"/>
        </w:rPr>
        <w:t xml:space="preserve">oprogramowanie równoważne musi być kompatybilne i w sposób niezakłócony współdziałać z oprogramowaniem (Windows </w:t>
      </w:r>
      <w:r w:rsidR="00893F98" w:rsidRPr="005B21E3">
        <w:rPr>
          <w:rFonts w:ascii="Tahoma" w:hAnsi="Tahoma" w:cs="Tahoma"/>
        </w:rPr>
        <w:t>7</w:t>
      </w:r>
      <w:r w:rsidRPr="005B21E3">
        <w:rPr>
          <w:rFonts w:ascii="Tahoma" w:hAnsi="Tahoma" w:cs="Tahoma"/>
        </w:rPr>
        <w:t xml:space="preserve">, Windows </w:t>
      </w:r>
      <w:r w:rsidR="00893F98" w:rsidRPr="005B21E3">
        <w:rPr>
          <w:rFonts w:ascii="Tahoma" w:hAnsi="Tahoma" w:cs="Tahoma"/>
        </w:rPr>
        <w:t>8/8.1/10</w:t>
      </w:r>
      <w:r w:rsidRPr="005B21E3">
        <w:rPr>
          <w:rFonts w:ascii="Tahoma" w:hAnsi="Tahoma" w:cs="Tahoma"/>
        </w:rPr>
        <w:t>, Microsoft Office 2010</w:t>
      </w:r>
      <w:r w:rsidR="00893F98" w:rsidRPr="005B21E3">
        <w:rPr>
          <w:rFonts w:ascii="Tahoma" w:hAnsi="Tahoma" w:cs="Tahoma"/>
        </w:rPr>
        <w:t>/2013/2016</w:t>
      </w:r>
      <w:r w:rsidRPr="005B21E3">
        <w:rPr>
          <w:rFonts w:ascii="Tahoma" w:hAnsi="Tahoma" w:cs="Tahoma"/>
        </w:rPr>
        <w:t>), sprzętem funkcjonującym u Zamawiającego.</w:t>
      </w:r>
    </w:p>
    <w:p w:rsidR="00F76230" w:rsidRPr="005B21E3" w:rsidRDefault="00F76230" w:rsidP="0044167A">
      <w:pPr>
        <w:pStyle w:val="Akapitzlist"/>
        <w:numPr>
          <w:ilvl w:val="1"/>
          <w:numId w:val="2"/>
        </w:numPr>
        <w:tabs>
          <w:tab w:val="left" w:pos="851"/>
        </w:tabs>
        <w:spacing w:after="0"/>
        <w:ind w:right="-1"/>
        <w:jc w:val="both"/>
        <w:rPr>
          <w:rFonts w:ascii="Tahoma" w:hAnsi="Tahoma" w:cs="Tahoma"/>
        </w:rPr>
      </w:pPr>
      <w:r w:rsidRPr="005B21E3">
        <w:rPr>
          <w:rFonts w:ascii="Tahoma" w:hAnsi="Tahoma" w:cs="Tahoma"/>
        </w:rPr>
        <w:t xml:space="preserve">oprogramowanie równoważne musi zapewniać co najmniej pełną funkcjonalność oprogramowania w stosunku, do którego jest wskazywana przez wykonawcę jako równoważne i posiadać co najmniej takie same parametry techniczne i funkcjonalne. </w:t>
      </w:r>
    </w:p>
    <w:p w:rsidR="00F76230" w:rsidRPr="005B21E3" w:rsidRDefault="00F76230" w:rsidP="0044167A">
      <w:pPr>
        <w:pStyle w:val="Akapitzlist"/>
        <w:numPr>
          <w:ilvl w:val="1"/>
          <w:numId w:val="2"/>
        </w:numPr>
        <w:tabs>
          <w:tab w:val="left" w:pos="851"/>
        </w:tabs>
        <w:spacing w:after="0"/>
        <w:ind w:right="-1"/>
        <w:jc w:val="both"/>
        <w:rPr>
          <w:rFonts w:ascii="Tahoma" w:hAnsi="Tahoma" w:cs="Tahoma"/>
        </w:rPr>
      </w:pPr>
      <w:r w:rsidRPr="005B21E3">
        <w:rPr>
          <w:rFonts w:ascii="Tahoma" w:hAnsi="Tahoma" w:cs="Tahoma"/>
        </w:rPr>
        <w:t>warunki licencji oprogramowania równoważnego w każdym aspekcie licencjonowania muszą być nie gorsze niż licencje o programowania wskazanego</w:t>
      </w:r>
    </w:p>
    <w:p w:rsidR="00F76230" w:rsidRPr="005B21E3" w:rsidRDefault="00F76230" w:rsidP="00DB5C8F">
      <w:pPr>
        <w:pStyle w:val="Akapitzlist"/>
        <w:tabs>
          <w:tab w:val="left" w:pos="851"/>
        </w:tabs>
        <w:spacing w:after="0"/>
        <w:ind w:left="1440" w:right="-1"/>
        <w:jc w:val="both"/>
        <w:rPr>
          <w:rFonts w:ascii="Tahoma" w:hAnsi="Tahoma" w:cs="Tahoma"/>
        </w:rPr>
      </w:pPr>
      <w:r w:rsidRPr="005B21E3">
        <w:rPr>
          <w:rFonts w:ascii="Tahoma" w:hAnsi="Tahoma" w:cs="Tahoma"/>
        </w:rPr>
        <w:t xml:space="preserve">przez Zamawiającego w stosunku do którego jest równoważna, </w:t>
      </w:r>
    </w:p>
    <w:p w:rsidR="00F76230" w:rsidRPr="005B21E3" w:rsidRDefault="00F76230" w:rsidP="0044167A">
      <w:pPr>
        <w:pStyle w:val="Akapitzlist"/>
        <w:numPr>
          <w:ilvl w:val="1"/>
          <w:numId w:val="2"/>
        </w:numPr>
        <w:tabs>
          <w:tab w:val="left" w:pos="851"/>
        </w:tabs>
        <w:spacing w:after="0"/>
        <w:ind w:right="-1"/>
        <w:jc w:val="both"/>
        <w:rPr>
          <w:rFonts w:ascii="Tahoma" w:hAnsi="Tahoma" w:cs="Tahoma"/>
        </w:rPr>
      </w:pPr>
      <w:r w:rsidRPr="005B21E3">
        <w:rPr>
          <w:rFonts w:ascii="Tahoma" w:hAnsi="Tahoma" w:cs="Tahoma"/>
        </w:rPr>
        <w:t>warunki i zakres subskrypcji licencji dla oprogramowania równoważnego muszą</w:t>
      </w:r>
      <w:r w:rsidR="00C13232" w:rsidRPr="005B21E3">
        <w:rPr>
          <w:rFonts w:ascii="Tahoma" w:hAnsi="Tahoma" w:cs="Tahoma"/>
        </w:rPr>
        <w:t xml:space="preserve"> </w:t>
      </w:r>
      <w:r w:rsidRPr="005B21E3">
        <w:rPr>
          <w:rFonts w:ascii="Tahoma" w:hAnsi="Tahoma" w:cs="Tahoma"/>
        </w:rPr>
        <w:t>być nie gorsze niż dla oprogramowania wskazanego przez Zamawiającego w</w:t>
      </w:r>
      <w:r w:rsidR="00C13232" w:rsidRPr="005B21E3">
        <w:rPr>
          <w:rFonts w:ascii="Tahoma" w:hAnsi="Tahoma" w:cs="Tahoma"/>
        </w:rPr>
        <w:t xml:space="preserve"> </w:t>
      </w:r>
      <w:r w:rsidRPr="005B21E3">
        <w:rPr>
          <w:rFonts w:ascii="Tahoma" w:hAnsi="Tahoma" w:cs="Tahoma"/>
        </w:rPr>
        <w:t>stosunku do którego jest równoważna</w:t>
      </w:r>
      <w:r w:rsidR="00343D18" w:rsidRPr="005B21E3">
        <w:rPr>
          <w:rFonts w:ascii="Tahoma" w:hAnsi="Tahoma" w:cs="Tahoma"/>
        </w:rPr>
        <w:t>.</w:t>
      </w:r>
    </w:p>
    <w:p w:rsidR="00343D18" w:rsidRPr="005B21E3" w:rsidRDefault="00343D18" w:rsidP="0044167A">
      <w:pPr>
        <w:pStyle w:val="Akapitzlist"/>
        <w:numPr>
          <w:ilvl w:val="0"/>
          <w:numId w:val="2"/>
        </w:numPr>
        <w:tabs>
          <w:tab w:val="left" w:pos="851"/>
        </w:tabs>
        <w:spacing w:after="0"/>
        <w:ind w:right="-1"/>
        <w:jc w:val="both"/>
        <w:rPr>
          <w:rFonts w:ascii="Tahoma" w:hAnsi="Tahoma" w:cs="Tahoma"/>
        </w:rPr>
      </w:pPr>
      <w:r w:rsidRPr="005B21E3">
        <w:rPr>
          <w:rFonts w:ascii="Tahoma" w:hAnsi="Tahoma" w:cs="Tahoma"/>
        </w:rPr>
        <w:t>Zamawiający wymaga, aby wykonawca w formularzu ofertowym opisał wszystkie dane techniczne skł</w:t>
      </w:r>
      <w:r w:rsidR="008E0166" w:rsidRPr="005B21E3">
        <w:rPr>
          <w:rFonts w:ascii="Tahoma" w:hAnsi="Tahoma" w:cs="Tahoma"/>
        </w:rPr>
        <w:t>adające się na dany asortyment</w:t>
      </w:r>
      <w:r w:rsidRPr="005B21E3">
        <w:rPr>
          <w:rFonts w:ascii="Tahoma" w:hAnsi="Tahoma" w:cs="Tahoma"/>
        </w:rPr>
        <w:t xml:space="preserve"> zgodnym z zamówieniem.</w:t>
      </w:r>
      <w:r w:rsidR="008E0166" w:rsidRPr="005B21E3">
        <w:rPr>
          <w:rFonts w:ascii="Tahoma" w:hAnsi="Tahoma" w:cs="Tahoma"/>
        </w:rPr>
        <w:t xml:space="preserve"> </w:t>
      </w:r>
    </w:p>
    <w:p w:rsidR="00C13232" w:rsidRPr="005B21E3" w:rsidRDefault="00C13232" w:rsidP="00DB5C8F">
      <w:pPr>
        <w:pStyle w:val="Akapitzlist"/>
        <w:tabs>
          <w:tab w:val="left" w:pos="851"/>
        </w:tabs>
        <w:spacing w:after="0"/>
        <w:ind w:left="1440" w:right="-1"/>
        <w:jc w:val="both"/>
        <w:rPr>
          <w:rFonts w:ascii="Tahoma" w:hAnsi="Tahoma" w:cs="Tahoma"/>
        </w:rPr>
      </w:pPr>
    </w:p>
    <w:p w:rsidR="007F1B6E" w:rsidRPr="005B21E3" w:rsidRDefault="00920F8C" w:rsidP="00A26792">
      <w:pPr>
        <w:pStyle w:val="Nagwek1"/>
        <w:numPr>
          <w:ilvl w:val="0"/>
          <w:numId w:val="1"/>
        </w:numPr>
        <w:jc w:val="both"/>
        <w:rPr>
          <w:rFonts w:cs="Tahoma"/>
        </w:rPr>
      </w:pPr>
      <w:r w:rsidRPr="005B21E3">
        <w:rPr>
          <w:rFonts w:cs="Tahoma"/>
        </w:rPr>
        <w:t>Oświadczenia i zobowiązania Wykonawcy</w:t>
      </w:r>
      <w:r w:rsidR="00683E6E" w:rsidRPr="005B21E3">
        <w:rPr>
          <w:rFonts w:cs="Tahoma"/>
        </w:rPr>
        <w:t>:</w:t>
      </w:r>
    </w:p>
    <w:p w:rsidR="00680696" w:rsidRPr="005B21E3" w:rsidRDefault="00920F8C" w:rsidP="0044167A">
      <w:pPr>
        <w:pStyle w:val="Akapitzlist"/>
        <w:numPr>
          <w:ilvl w:val="0"/>
          <w:numId w:val="3"/>
        </w:numPr>
        <w:tabs>
          <w:tab w:val="left" w:pos="284"/>
          <w:tab w:val="left" w:pos="426"/>
          <w:tab w:val="left" w:pos="709"/>
        </w:tabs>
        <w:spacing w:after="0"/>
        <w:jc w:val="both"/>
        <w:rPr>
          <w:rFonts w:ascii="Tahoma" w:hAnsi="Tahoma" w:cs="Tahoma"/>
        </w:rPr>
      </w:pPr>
      <w:bookmarkStart w:id="19" w:name="OLE_LINK82"/>
      <w:bookmarkStart w:id="20" w:name="OLE_LINK83"/>
      <w:bookmarkStart w:id="21" w:name="OLE_LINK84"/>
      <w:bookmarkStart w:id="22" w:name="OLE_LINK85"/>
      <w:r w:rsidRPr="005B21E3">
        <w:rPr>
          <w:rFonts w:ascii="Tahoma" w:hAnsi="Tahoma" w:cs="Tahoma"/>
        </w:rPr>
        <w:t>Wykonawca oświadc</w:t>
      </w:r>
      <w:r w:rsidR="00E00968" w:rsidRPr="005B21E3">
        <w:rPr>
          <w:rFonts w:ascii="Tahoma" w:hAnsi="Tahoma" w:cs="Tahoma"/>
        </w:rPr>
        <w:t xml:space="preserve">za, że posiada upoważnienie do </w:t>
      </w:r>
      <w:r w:rsidRPr="005B21E3">
        <w:rPr>
          <w:rFonts w:ascii="Tahoma" w:hAnsi="Tahoma" w:cs="Tahoma"/>
        </w:rPr>
        <w:t>udzielania licencji na oprogramowanie.</w:t>
      </w:r>
    </w:p>
    <w:p w:rsidR="00920F8C" w:rsidRPr="005B21E3" w:rsidRDefault="00920F8C" w:rsidP="0044167A">
      <w:pPr>
        <w:pStyle w:val="Akapitzlist"/>
        <w:numPr>
          <w:ilvl w:val="0"/>
          <w:numId w:val="3"/>
        </w:numPr>
        <w:tabs>
          <w:tab w:val="left" w:pos="284"/>
          <w:tab w:val="left" w:pos="426"/>
          <w:tab w:val="left" w:pos="709"/>
        </w:tabs>
        <w:spacing w:after="0"/>
        <w:jc w:val="both"/>
        <w:rPr>
          <w:rFonts w:ascii="Tahoma" w:hAnsi="Tahoma" w:cs="Tahoma"/>
        </w:rPr>
      </w:pPr>
      <w:r w:rsidRPr="005B21E3">
        <w:rPr>
          <w:rFonts w:ascii="Tahoma" w:hAnsi="Tahoma" w:cs="Tahoma"/>
        </w:rPr>
        <w:t xml:space="preserve">Wykonawca oświadcza, że przedmiot umowy jest wolny od wad fizycznych i prawnych. </w:t>
      </w:r>
    </w:p>
    <w:p w:rsidR="00920F8C" w:rsidRPr="005B21E3" w:rsidRDefault="00920F8C" w:rsidP="0044167A">
      <w:pPr>
        <w:pStyle w:val="Akapitzlist"/>
        <w:numPr>
          <w:ilvl w:val="0"/>
          <w:numId w:val="3"/>
        </w:numPr>
        <w:tabs>
          <w:tab w:val="left" w:pos="284"/>
          <w:tab w:val="left" w:pos="426"/>
          <w:tab w:val="left" w:pos="709"/>
        </w:tabs>
        <w:spacing w:after="0"/>
        <w:jc w:val="both"/>
        <w:rPr>
          <w:rFonts w:ascii="Tahoma" w:hAnsi="Tahoma" w:cs="Tahoma"/>
        </w:rPr>
      </w:pPr>
      <w:r w:rsidRPr="005B21E3">
        <w:rPr>
          <w:rFonts w:ascii="Tahoma" w:hAnsi="Tahoma" w:cs="Tahoma"/>
        </w:rPr>
        <w:t>Wykonawca będzie realizował przedmiot umowy z należytą starannością, przy zachowaniu zasad współczesnej wiedzy technicznej i zgodnie z przepisami prawa oraz zapisami SIWZ.</w:t>
      </w:r>
    </w:p>
    <w:p w:rsidR="00140F6E" w:rsidRPr="005B21E3" w:rsidRDefault="00920F8C" w:rsidP="0044167A">
      <w:pPr>
        <w:pStyle w:val="Akapitzlist"/>
        <w:numPr>
          <w:ilvl w:val="0"/>
          <w:numId w:val="3"/>
        </w:numPr>
        <w:tabs>
          <w:tab w:val="left" w:pos="284"/>
          <w:tab w:val="left" w:pos="426"/>
          <w:tab w:val="left" w:pos="709"/>
        </w:tabs>
        <w:spacing w:after="0"/>
        <w:jc w:val="both"/>
        <w:rPr>
          <w:rFonts w:ascii="Tahoma" w:hAnsi="Tahoma" w:cs="Tahoma"/>
        </w:rPr>
      </w:pPr>
      <w:r w:rsidRPr="005B21E3">
        <w:rPr>
          <w:rFonts w:ascii="Tahoma" w:hAnsi="Tahoma" w:cs="Tahoma"/>
        </w:rPr>
        <w:t>Licencja będzie wystawiona na Zamawiającego.</w:t>
      </w:r>
      <w:bookmarkEnd w:id="19"/>
      <w:bookmarkEnd w:id="20"/>
      <w:bookmarkEnd w:id="21"/>
      <w:bookmarkEnd w:id="22"/>
    </w:p>
    <w:sectPr w:rsidR="00140F6E" w:rsidRPr="005B21E3" w:rsidSect="00D028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21B" w:rsidRDefault="00E9321B" w:rsidP="007B2D62">
      <w:pPr>
        <w:spacing w:after="0" w:line="240" w:lineRule="auto"/>
      </w:pPr>
      <w:r>
        <w:separator/>
      </w:r>
    </w:p>
  </w:endnote>
  <w:endnote w:type="continuationSeparator" w:id="0">
    <w:p w:rsidR="00E9321B" w:rsidRDefault="00E9321B" w:rsidP="007B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34031"/>
      <w:docPartObj>
        <w:docPartGallery w:val="Page Numbers (Bottom of Page)"/>
        <w:docPartUnique/>
      </w:docPartObj>
    </w:sdtPr>
    <w:sdtEndPr/>
    <w:sdtContent>
      <w:sdt>
        <w:sdtPr>
          <w:id w:val="-1669238322"/>
          <w:docPartObj>
            <w:docPartGallery w:val="Page Numbers (Top of Page)"/>
            <w:docPartUnique/>
          </w:docPartObj>
        </w:sdtPr>
        <w:sdtEndPr/>
        <w:sdtContent>
          <w:p w:rsidR="00E9321B" w:rsidRDefault="00E9321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41ED1">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41ED1">
              <w:rPr>
                <w:b/>
                <w:bCs/>
                <w:noProof/>
              </w:rPr>
              <w:t>30</w:t>
            </w:r>
            <w:r>
              <w:rPr>
                <w:b/>
                <w:bCs/>
                <w:sz w:val="24"/>
                <w:szCs w:val="24"/>
              </w:rPr>
              <w:fldChar w:fldCharType="end"/>
            </w:r>
          </w:p>
        </w:sdtContent>
      </w:sdt>
    </w:sdtContent>
  </w:sdt>
  <w:p w:rsidR="00E9321B" w:rsidRDefault="00E932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21B" w:rsidRDefault="00E9321B" w:rsidP="007B2D62">
      <w:pPr>
        <w:spacing w:after="0" w:line="240" w:lineRule="auto"/>
      </w:pPr>
      <w:r>
        <w:separator/>
      </w:r>
    </w:p>
  </w:footnote>
  <w:footnote w:type="continuationSeparator" w:id="0">
    <w:p w:rsidR="00E9321B" w:rsidRDefault="00E9321B" w:rsidP="007B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00" w:rsidRPr="0077702E" w:rsidRDefault="00C321CC" w:rsidP="0069332B">
    <w:pPr>
      <w:pStyle w:val="Nagwek"/>
      <w:tabs>
        <w:tab w:val="clear" w:pos="9072"/>
        <w:tab w:val="right" w:pos="10490"/>
      </w:tabs>
      <w:jc w:val="both"/>
      <w:rPr>
        <w:rFonts w:ascii="Tahoma" w:hAnsi="Tahoma" w:cs="Tahoma"/>
        <w:b/>
      </w:rPr>
    </w:pPr>
    <w:r>
      <w:rPr>
        <w:rFonts w:ascii="Tahoma" w:hAnsi="Tahoma" w:cs="Tahoma"/>
        <w:b/>
      </w:rPr>
      <w:t>Znak sprawy: ZTM.EZ.3310.13.2017</w:t>
    </w:r>
    <w:r w:rsidR="00741ED1">
      <w:rPr>
        <w:rFonts w:ascii="Tahoma" w:hAnsi="Tahoma" w:cs="Tahoma"/>
        <w:b/>
      </w:rPr>
      <w:t xml:space="preserve">     </w:t>
    </w:r>
    <w:r w:rsidR="00E9321B" w:rsidRPr="007A4229">
      <w:rPr>
        <w:rFonts w:ascii="Tahoma" w:hAnsi="Tahoma" w:cs="Tahoma"/>
        <w:b/>
      </w:rPr>
      <w:t xml:space="preserve">Załącznik nr </w:t>
    </w:r>
    <w:r w:rsidR="00741ED1">
      <w:rPr>
        <w:rFonts w:ascii="Tahoma" w:hAnsi="Tahoma" w:cs="Tahoma"/>
        <w:b/>
      </w:rPr>
      <w:t>6 do SIWZ Opis przedmiotu zamówienia</w:t>
    </w:r>
  </w:p>
  <w:p w:rsidR="00E9321B" w:rsidRPr="0069332B" w:rsidRDefault="00E9321B" w:rsidP="006933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816"/>
    <w:multiLevelType w:val="hybridMultilevel"/>
    <w:tmpl w:val="CD7C97F0"/>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1" w15:restartNumberingAfterBreak="0">
    <w:nsid w:val="0AA32F51"/>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D70131"/>
    <w:multiLevelType w:val="hybridMultilevel"/>
    <w:tmpl w:val="5484A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21247C"/>
    <w:multiLevelType w:val="hybridMultilevel"/>
    <w:tmpl w:val="D35C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42527D"/>
    <w:multiLevelType w:val="hybridMultilevel"/>
    <w:tmpl w:val="758CE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55505"/>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B930E7"/>
    <w:multiLevelType w:val="hybridMultilevel"/>
    <w:tmpl w:val="A254E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D97BB2"/>
    <w:multiLevelType w:val="hybridMultilevel"/>
    <w:tmpl w:val="5DE0E274"/>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8" w15:restartNumberingAfterBreak="0">
    <w:nsid w:val="1FD9728B"/>
    <w:multiLevelType w:val="hybridMultilevel"/>
    <w:tmpl w:val="FF400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B8372C"/>
    <w:multiLevelType w:val="hybridMultilevel"/>
    <w:tmpl w:val="C8E6D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BD5F7F"/>
    <w:multiLevelType w:val="hybridMultilevel"/>
    <w:tmpl w:val="B9D8077E"/>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11" w15:restartNumberingAfterBreak="0">
    <w:nsid w:val="27900B06"/>
    <w:multiLevelType w:val="hybridMultilevel"/>
    <w:tmpl w:val="4FBC4C6A"/>
    <w:lvl w:ilvl="0" w:tplc="0415000F">
      <w:start w:val="1"/>
      <w:numFmt w:val="decimal"/>
      <w:lvlText w:val="%1."/>
      <w:lvlJc w:val="left"/>
      <w:pPr>
        <w:ind w:left="360" w:hanging="360"/>
      </w:pPr>
    </w:lvl>
    <w:lvl w:ilvl="1" w:tplc="EF3690C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95491"/>
    <w:multiLevelType w:val="multilevel"/>
    <w:tmpl w:val="4FB428A8"/>
    <w:lvl w:ilvl="0">
      <w:start w:val="1"/>
      <w:numFmt w:val="decimal"/>
      <w:pStyle w:val="Nagwek1"/>
      <w:lvlText w:val="%1."/>
      <w:lvlJc w:val="left"/>
      <w:pPr>
        <w:ind w:left="432" w:hanging="432"/>
      </w:pPr>
      <w:rPr>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b/>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30F25FC4"/>
    <w:multiLevelType w:val="hybridMultilevel"/>
    <w:tmpl w:val="5C220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E0126"/>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98617F"/>
    <w:multiLevelType w:val="hybridMultilevel"/>
    <w:tmpl w:val="774067D6"/>
    <w:lvl w:ilvl="0" w:tplc="0415000F">
      <w:start w:val="1"/>
      <w:numFmt w:val="decimal"/>
      <w:lvlText w:val="%1."/>
      <w:lvlJc w:val="left"/>
      <w:pPr>
        <w:ind w:left="862" w:hanging="72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C522EC"/>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4939CE"/>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1F3188"/>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FD2494"/>
    <w:multiLevelType w:val="hybridMultilevel"/>
    <w:tmpl w:val="D05601EE"/>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0" w15:restartNumberingAfterBreak="0">
    <w:nsid w:val="52AA130D"/>
    <w:multiLevelType w:val="hybridMultilevel"/>
    <w:tmpl w:val="9A8C7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0065FB"/>
    <w:multiLevelType w:val="hybridMultilevel"/>
    <w:tmpl w:val="30BAA4BC"/>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2" w15:restartNumberingAfterBreak="0">
    <w:nsid w:val="5D8B5DE0"/>
    <w:multiLevelType w:val="hybridMultilevel"/>
    <w:tmpl w:val="55B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F14E84"/>
    <w:multiLevelType w:val="hybridMultilevel"/>
    <w:tmpl w:val="95EE6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D1735"/>
    <w:multiLevelType w:val="hybridMultilevel"/>
    <w:tmpl w:val="E0D60914"/>
    <w:lvl w:ilvl="0" w:tplc="6D26BEB0">
      <w:start w:val="1"/>
      <w:numFmt w:val="bullet"/>
      <w:lvlText w:val=""/>
      <w:lvlJc w:val="left"/>
      <w:pPr>
        <w:ind w:left="862" w:hanging="360"/>
      </w:pPr>
      <w:rPr>
        <w:rFonts w:ascii="Symbol" w:hAnsi="Symbol" w:hint="default"/>
      </w:rPr>
    </w:lvl>
    <w:lvl w:ilvl="1" w:tplc="18FCC7B2" w:tentative="1">
      <w:start w:val="1"/>
      <w:numFmt w:val="bullet"/>
      <w:lvlText w:val="o"/>
      <w:lvlJc w:val="left"/>
      <w:pPr>
        <w:ind w:left="1582" w:hanging="360"/>
      </w:pPr>
      <w:rPr>
        <w:rFonts w:ascii="Courier New" w:hAnsi="Courier New" w:cs="Courier New" w:hint="default"/>
      </w:rPr>
    </w:lvl>
    <w:lvl w:ilvl="2" w:tplc="AC3E7060" w:tentative="1">
      <w:start w:val="1"/>
      <w:numFmt w:val="bullet"/>
      <w:lvlText w:val=""/>
      <w:lvlJc w:val="left"/>
      <w:pPr>
        <w:ind w:left="2302" w:hanging="360"/>
      </w:pPr>
      <w:rPr>
        <w:rFonts w:ascii="Wingdings" w:hAnsi="Wingdings" w:hint="default"/>
      </w:rPr>
    </w:lvl>
    <w:lvl w:ilvl="3" w:tplc="955EAA72" w:tentative="1">
      <w:start w:val="1"/>
      <w:numFmt w:val="bullet"/>
      <w:lvlText w:val=""/>
      <w:lvlJc w:val="left"/>
      <w:pPr>
        <w:ind w:left="3022" w:hanging="360"/>
      </w:pPr>
      <w:rPr>
        <w:rFonts w:ascii="Symbol" w:hAnsi="Symbol" w:hint="default"/>
      </w:rPr>
    </w:lvl>
    <w:lvl w:ilvl="4" w:tplc="73782692" w:tentative="1">
      <w:start w:val="1"/>
      <w:numFmt w:val="bullet"/>
      <w:lvlText w:val="o"/>
      <w:lvlJc w:val="left"/>
      <w:pPr>
        <w:ind w:left="3742" w:hanging="360"/>
      </w:pPr>
      <w:rPr>
        <w:rFonts w:ascii="Courier New" w:hAnsi="Courier New" w:cs="Courier New" w:hint="default"/>
      </w:rPr>
    </w:lvl>
    <w:lvl w:ilvl="5" w:tplc="2F52C4B8" w:tentative="1">
      <w:start w:val="1"/>
      <w:numFmt w:val="bullet"/>
      <w:lvlText w:val=""/>
      <w:lvlJc w:val="left"/>
      <w:pPr>
        <w:ind w:left="4462" w:hanging="360"/>
      </w:pPr>
      <w:rPr>
        <w:rFonts w:ascii="Wingdings" w:hAnsi="Wingdings" w:hint="default"/>
      </w:rPr>
    </w:lvl>
    <w:lvl w:ilvl="6" w:tplc="73307F74" w:tentative="1">
      <w:start w:val="1"/>
      <w:numFmt w:val="bullet"/>
      <w:lvlText w:val=""/>
      <w:lvlJc w:val="left"/>
      <w:pPr>
        <w:ind w:left="5182" w:hanging="360"/>
      </w:pPr>
      <w:rPr>
        <w:rFonts w:ascii="Symbol" w:hAnsi="Symbol" w:hint="default"/>
      </w:rPr>
    </w:lvl>
    <w:lvl w:ilvl="7" w:tplc="06506446" w:tentative="1">
      <w:start w:val="1"/>
      <w:numFmt w:val="bullet"/>
      <w:lvlText w:val="o"/>
      <w:lvlJc w:val="left"/>
      <w:pPr>
        <w:ind w:left="5902" w:hanging="360"/>
      </w:pPr>
      <w:rPr>
        <w:rFonts w:ascii="Courier New" w:hAnsi="Courier New" w:cs="Courier New" w:hint="default"/>
      </w:rPr>
    </w:lvl>
    <w:lvl w:ilvl="8" w:tplc="6D783410" w:tentative="1">
      <w:start w:val="1"/>
      <w:numFmt w:val="bullet"/>
      <w:lvlText w:val=""/>
      <w:lvlJc w:val="left"/>
      <w:pPr>
        <w:ind w:left="6622" w:hanging="360"/>
      </w:pPr>
      <w:rPr>
        <w:rFonts w:ascii="Wingdings" w:hAnsi="Wingdings" w:hint="default"/>
      </w:rPr>
    </w:lvl>
  </w:abstractNum>
  <w:abstractNum w:abstractNumId="25" w15:restartNumberingAfterBreak="0">
    <w:nsid w:val="71EB07BA"/>
    <w:multiLevelType w:val="hybridMultilevel"/>
    <w:tmpl w:val="500C720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6" w15:restartNumberingAfterBreak="0">
    <w:nsid w:val="72016CA5"/>
    <w:multiLevelType w:val="hybridMultilevel"/>
    <w:tmpl w:val="65968D6C"/>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7" w15:restartNumberingAfterBreak="0">
    <w:nsid w:val="732A5113"/>
    <w:multiLevelType w:val="hybridMultilevel"/>
    <w:tmpl w:val="0D221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35555"/>
    <w:multiLevelType w:val="hybridMultilevel"/>
    <w:tmpl w:val="E244F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8A33ED"/>
    <w:multiLevelType w:val="hybridMultilevel"/>
    <w:tmpl w:val="8E303F2E"/>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0" w15:restartNumberingAfterBreak="0">
    <w:nsid w:val="749D7514"/>
    <w:multiLevelType w:val="hybridMultilevel"/>
    <w:tmpl w:val="C4F8DC1C"/>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1" w15:restartNumberingAfterBreak="0">
    <w:nsid w:val="76346817"/>
    <w:multiLevelType w:val="hybridMultilevel"/>
    <w:tmpl w:val="FF1A5690"/>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2" w15:restartNumberingAfterBreak="0">
    <w:nsid w:val="78AC4151"/>
    <w:multiLevelType w:val="hybridMultilevel"/>
    <w:tmpl w:val="4FBC4C6A"/>
    <w:lvl w:ilvl="0" w:tplc="0415000F">
      <w:start w:val="1"/>
      <w:numFmt w:val="decimal"/>
      <w:lvlText w:val="%1."/>
      <w:lvlJc w:val="left"/>
      <w:pPr>
        <w:ind w:left="360" w:hanging="360"/>
      </w:pPr>
    </w:lvl>
    <w:lvl w:ilvl="1" w:tplc="EF3690C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760983"/>
    <w:multiLevelType w:val="hybridMultilevel"/>
    <w:tmpl w:val="2C3EBF6C"/>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4" w15:restartNumberingAfterBreak="0">
    <w:nsid w:val="7D322AA1"/>
    <w:multiLevelType w:val="hybridMultilevel"/>
    <w:tmpl w:val="1C30AE16"/>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5" w15:restartNumberingAfterBreak="0">
    <w:nsid w:val="7D9B679A"/>
    <w:multiLevelType w:val="hybridMultilevel"/>
    <w:tmpl w:val="8F4CECA6"/>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num w:numId="1">
    <w:abstractNumId w:val="12"/>
  </w:num>
  <w:num w:numId="2">
    <w:abstractNumId w:val="23"/>
  </w:num>
  <w:num w:numId="3">
    <w:abstractNumId w:val="27"/>
  </w:num>
  <w:num w:numId="4">
    <w:abstractNumId w:val="12"/>
  </w:num>
  <w:num w:numId="5">
    <w:abstractNumId w:val="18"/>
  </w:num>
  <w:num w:numId="6">
    <w:abstractNumId w:val="14"/>
  </w:num>
  <w:num w:numId="7">
    <w:abstractNumId w:val="2"/>
  </w:num>
  <w:num w:numId="8">
    <w:abstractNumId w:val="32"/>
  </w:num>
  <w:num w:numId="9">
    <w:abstractNumId w:val="31"/>
  </w:num>
  <w:num w:numId="10">
    <w:abstractNumId w:val="7"/>
  </w:num>
  <w:num w:numId="11">
    <w:abstractNumId w:val="19"/>
  </w:num>
  <w:num w:numId="12">
    <w:abstractNumId w:val="26"/>
  </w:num>
  <w:num w:numId="13">
    <w:abstractNumId w:val="34"/>
  </w:num>
  <w:num w:numId="14">
    <w:abstractNumId w:val="35"/>
  </w:num>
  <w:num w:numId="15">
    <w:abstractNumId w:val="1"/>
  </w:num>
  <w:num w:numId="16">
    <w:abstractNumId w:val="24"/>
  </w:num>
  <w:num w:numId="17">
    <w:abstractNumId w:val="3"/>
  </w:num>
  <w:num w:numId="18">
    <w:abstractNumId w:val="16"/>
  </w:num>
  <w:num w:numId="19">
    <w:abstractNumId w:val="11"/>
  </w:num>
  <w:num w:numId="20">
    <w:abstractNumId w:val="9"/>
  </w:num>
  <w:num w:numId="21">
    <w:abstractNumId w:val="6"/>
  </w:num>
  <w:num w:numId="22">
    <w:abstractNumId w:val="8"/>
  </w:num>
  <w:num w:numId="23">
    <w:abstractNumId w:val="28"/>
  </w:num>
  <w:num w:numId="24">
    <w:abstractNumId w:val="13"/>
  </w:num>
  <w:num w:numId="25">
    <w:abstractNumId w:val="4"/>
  </w:num>
  <w:num w:numId="26">
    <w:abstractNumId w:val="22"/>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5"/>
  </w:num>
  <w:num w:numId="31">
    <w:abstractNumId w:val="0"/>
  </w:num>
  <w:num w:numId="32">
    <w:abstractNumId w:val="10"/>
  </w:num>
  <w:num w:numId="33">
    <w:abstractNumId w:val="29"/>
  </w:num>
  <w:num w:numId="34">
    <w:abstractNumId w:val="33"/>
  </w:num>
  <w:num w:numId="35">
    <w:abstractNumId w:val="25"/>
  </w:num>
  <w:num w:numId="36">
    <w:abstractNumId w:val="21"/>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38"/>
    <w:rsid w:val="000023AA"/>
    <w:rsid w:val="00002C7D"/>
    <w:rsid w:val="0000520F"/>
    <w:rsid w:val="00006B54"/>
    <w:rsid w:val="0001671B"/>
    <w:rsid w:val="0002050F"/>
    <w:rsid w:val="0002377A"/>
    <w:rsid w:val="00024EE3"/>
    <w:rsid w:val="0002722A"/>
    <w:rsid w:val="00027A83"/>
    <w:rsid w:val="00037ED1"/>
    <w:rsid w:val="000435BA"/>
    <w:rsid w:val="00045755"/>
    <w:rsid w:val="00046D5A"/>
    <w:rsid w:val="00051579"/>
    <w:rsid w:val="00051DCD"/>
    <w:rsid w:val="000521FD"/>
    <w:rsid w:val="00053024"/>
    <w:rsid w:val="000538C3"/>
    <w:rsid w:val="00061171"/>
    <w:rsid w:val="0006341D"/>
    <w:rsid w:val="0006355D"/>
    <w:rsid w:val="0006752F"/>
    <w:rsid w:val="000706F4"/>
    <w:rsid w:val="000707B3"/>
    <w:rsid w:val="00071655"/>
    <w:rsid w:val="00072F76"/>
    <w:rsid w:val="00073511"/>
    <w:rsid w:val="000749AE"/>
    <w:rsid w:val="000758A2"/>
    <w:rsid w:val="00076330"/>
    <w:rsid w:val="00076ADD"/>
    <w:rsid w:val="00077341"/>
    <w:rsid w:val="0008422A"/>
    <w:rsid w:val="00085705"/>
    <w:rsid w:val="00086F40"/>
    <w:rsid w:val="000906EC"/>
    <w:rsid w:val="000913D1"/>
    <w:rsid w:val="000958A8"/>
    <w:rsid w:val="000978C7"/>
    <w:rsid w:val="000A1423"/>
    <w:rsid w:val="000A3361"/>
    <w:rsid w:val="000A4D77"/>
    <w:rsid w:val="000A5AB0"/>
    <w:rsid w:val="000B1B72"/>
    <w:rsid w:val="000B2249"/>
    <w:rsid w:val="000C13A5"/>
    <w:rsid w:val="000C41E0"/>
    <w:rsid w:val="000C49FA"/>
    <w:rsid w:val="000D0664"/>
    <w:rsid w:val="000D42F7"/>
    <w:rsid w:val="000D7A61"/>
    <w:rsid w:val="000E2374"/>
    <w:rsid w:val="000E2F5B"/>
    <w:rsid w:val="000E7673"/>
    <w:rsid w:val="000F0648"/>
    <w:rsid w:val="000F2FF7"/>
    <w:rsid w:val="000F39EF"/>
    <w:rsid w:val="000F441E"/>
    <w:rsid w:val="000F48A5"/>
    <w:rsid w:val="000F59DC"/>
    <w:rsid w:val="00100498"/>
    <w:rsid w:val="0010111B"/>
    <w:rsid w:val="001038B5"/>
    <w:rsid w:val="00105E16"/>
    <w:rsid w:val="00106D66"/>
    <w:rsid w:val="00110F02"/>
    <w:rsid w:val="00112487"/>
    <w:rsid w:val="001125AD"/>
    <w:rsid w:val="00113E33"/>
    <w:rsid w:val="00120203"/>
    <w:rsid w:val="0012322B"/>
    <w:rsid w:val="00123E7A"/>
    <w:rsid w:val="001321F4"/>
    <w:rsid w:val="001347B0"/>
    <w:rsid w:val="001364C4"/>
    <w:rsid w:val="00140BC4"/>
    <w:rsid w:val="00140F6E"/>
    <w:rsid w:val="00144F5E"/>
    <w:rsid w:val="00146336"/>
    <w:rsid w:val="001473DC"/>
    <w:rsid w:val="00152D8F"/>
    <w:rsid w:val="00153793"/>
    <w:rsid w:val="00153A3B"/>
    <w:rsid w:val="001618ED"/>
    <w:rsid w:val="00164C62"/>
    <w:rsid w:val="00166AE3"/>
    <w:rsid w:val="0017080E"/>
    <w:rsid w:val="00173CF3"/>
    <w:rsid w:val="00173DA9"/>
    <w:rsid w:val="0017409B"/>
    <w:rsid w:val="00174EE4"/>
    <w:rsid w:val="00176591"/>
    <w:rsid w:val="001825CA"/>
    <w:rsid w:val="001838DF"/>
    <w:rsid w:val="00191A40"/>
    <w:rsid w:val="001963C2"/>
    <w:rsid w:val="00196D44"/>
    <w:rsid w:val="001971B0"/>
    <w:rsid w:val="00197975"/>
    <w:rsid w:val="00197E27"/>
    <w:rsid w:val="001A163F"/>
    <w:rsid w:val="001A1B04"/>
    <w:rsid w:val="001A2C65"/>
    <w:rsid w:val="001A63BC"/>
    <w:rsid w:val="001A6705"/>
    <w:rsid w:val="001A710F"/>
    <w:rsid w:val="001B0516"/>
    <w:rsid w:val="001B6751"/>
    <w:rsid w:val="001B73A0"/>
    <w:rsid w:val="001C53C0"/>
    <w:rsid w:val="001D014D"/>
    <w:rsid w:val="001D4E28"/>
    <w:rsid w:val="001E2A40"/>
    <w:rsid w:val="001E3B21"/>
    <w:rsid w:val="001E7EE4"/>
    <w:rsid w:val="001F023C"/>
    <w:rsid w:val="001F4E60"/>
    <w:rsid w:val="001F501F"/>
    <w:rsid w:val="001F6990"/>
    <w:rsid w:val="00200369"/>
    <w:rsid w:val="002153CE"/>
    <w:rsid w:val="00215E4E"/>
    <w:rsid w:val="00220B32"/>
    <w:rsid w:val="00220BF6"/>
    <w:rsid w:val="00221C26"/>
    <w:rsid w:val="00223683"/>
    <w:rsid w:val="002305FA"/>
    <w:rsid w:val="00234420"/>
    <w:rsid w:val="00236C2A"/>
    <w:rsid w:val="002374EA"/>
    <w:rsid w:val="002419D9"/>
    <w:rsid w:val="00242392"/>
    <w:rsid w:val="002469D3"/>
    <w:rsid w:val="00247CAE"/>
    <w:rsid w:val="00252B1E"/>
    <w:rsid w:val="0025373F"/>
    <w:rsid w:val="00255318"/>
    <w:rsid w:val="002579E1"/>
    <w:rsid w:val="002603B9"/>
    <w:rsid w:val="00263C44"/>
    <w:rsid w:val="00265371"/>
    <w:rsid w:val="00272B4B"/>
    <w:rsid w:val="00273333"/>
    <w:rsid w:val="00273F45"/>
    <w:rsid w:val="00274ABF"/>
    <w:rsid w:val="0027669A"/>
    <w:rsid w:val="0027676A"/>
    <w:rsid w:val="00276E51"/>
    <w:rsid w:val="00280F5E"/>
    <w:rsid w:val="0028169D"/>
    <w:rsid w:val="00285AEC"/>
    <w:rsid w:val="002901E9"/>
    <w:rsid w:val="002B0038"/>
    <w:rsid w:val="002B38E8"/>
    <w:rsid w:val="002B411D"/>
    <w:rsid w:val="002B70F1"/>
    <w:rsid w:val="002B7300"/>
    <w:rsid w:val="002C055A"/>
    <w:rsid w:val="002C1987"/>
    <w:rsid w:val="002C3789"/>
    <w:rsid w:val="002D3B88"/>
    <w:rsid w:val="002D41FA"/>
    <w:rsid w:val="002D611B"/>
    <w:rsid w:val="002D6E15"/>
    <w:rsid w:val="002E0A4D"/>
    <w:rsid w:val="002E1A46"/>
    <w:rsid w:val="002E3E47"/>
    <w:rsid w:val="002E45BE"/>
    <w:rsid w:val="002E4E8B"/>
    <w:rsid w:val="002E6600"/>
    <w:rsid w:val="002E77C7"/>
    <w:rsid w:val="002F0F4F"/>
    <w:rsid w:val="002F1F61"/>
    <w:rsid w:val="002F4105"/>
    <w:rsid w:val="002F5515"/>
    <w:rsid w:val="002F5DE4"/>
    <w:rsid w:val="002F7FA2"/>
    <w:rsid w:val="00300997"/>
    <w:rsid w:val="00301180"/>
    <w:rsid w:val="003028CA"/>
    <w:rsid w:val="00302C73"/>
    <w:rsid w:val="00306ED1"/>
    <w:rsid w:val="0030751F"/>
    <w:rsid w:val="00311FA3"/>
    <w:rsid w:val="00312380"/>
    <w:rsid w:val="00315A32"/>
    <w:rsid w:val="003260B5"/>
    <w:rsid w:val="00326FCA"/>
    <w:rsid w:val="003309A6"/>
    <w:rsid w:val="00330F02"/>
    <w:rsid w:val="00331545"/>
    <w:rsid w:val="00331766"/>
    <w:rsid w:val="0033254D"/>
    <w:rsid w:val="0033284E"/>
    <w:rsid w:val="00336250"/>
    <w:rsid w:val="00336307"/>
    <w:rsid w:val="00336F9C"/>
    <w:rsid w:val="003377F0"/>
    <w:rsid w:val="003406E9"/>
    <w:rsid w:val="00341C2F"/>
    <w:rsid w:val="00343D18"/>
    <w:rsid w:val="00343F57"/>
    <w:rsid w:val="003442EE"/>
    <w:rsid w:val="00344D75"/>
    <w:rsid w:val="00346C9B"/>
    <w:rsid w:val="00350158"/>
    <w:rsid w:val="003501D2"/>
    <w:rsid w:val="00353369"/>
    <w:rsid w:val="003548E0"/>
    <w:rsid w:val="00354C2A"/>
    <w:rsid w:val="003551AF"/>
    <w:rsid w:val="00365E6F"/>
    <w:rsid w:val="00366F5E"/>
    <w:rsid w:val="00367A82"/>
    <w:rsid w:val="00370C37"/>
    <w:rsid w:val="00373375"/>
    <w:rsid w:val="003825A4"/>
    <w:rsid w:val="00384263"/>
    <w:rsid w:val="003847C0"/>
    <w:rsid w:val="00392667"/>
    <w:rsid w:val="003927FA"/>
    <w:rsid w:val="00392D9B"/>
    <w:rsid w:val="00394BA4"/>
    <w:rsid w:val="003A1D83"/>
    <w:rsid w:val="003A452B"/>
    <w:rsid w:val="003B2CC5"/>
    <w:rsid w:val="003B32EC"/>
    <w:rsid w:val="003B3FCA"/>
    <w:rsid w:val="003B46CE"/>
    <w:rsid w:val="003B67C7"/>
    <w:rsid w:val="003C7C3F"/>
    <w:rsid w:val="003D1096"/>
    <w:rsid w:val="003D1BEE"/>
    <w:rsid w:val="003D24E3"/>
    <w:rsid w:val="003D2531"/>
    <w:rsid w:val="003D41E9"/>
    <w:rsid w:val="003E0457"/>
    <w:rsid w:val="003E0D46"/>
    <w:rsid w:val="003E48EB"/>
    <w:rsid w:val="003E5A28"/>
    <w:rsid w:val="003F1C1E"/>
    <w:rsid w:val="003F3557"/>
    <w:rsid w:val="003F4CD2"/>
    <w:rsid w:val="004004C1"/>
    <w:rsid w:val="004074FA"/>
    <w:rsid w:val="00412919"/>
    <w:rsid w:val="004148C4"/>
    <w:rsid w:val="00415174"/>
    <w:rsid w:val="004217B9"/>
    <w:rsid w:val="00421D9B"/>
    <w:rsid w:val="00427EA6"/>
    <w:rsid w:val="00427EA9"/>
    <w:rsid w:val="0043136E"/>
    <w:rsid w:val="00433B79"/>
    <w:rsid w:val="004355A4"/>
    <w:rsid w:val="00440AE5"/>
    <w:rsid w:val="00440BDA"/>
    <w:rsid w:val="0044167A"/>
    <w:rsid w:val="00441C6D"/>
    <w:rsid w:val="004427E7"/>
    <w:rsid w:val="004436DF"/>
    <w:rsid w:val="004444FF"/>
    <w:rsid w:val="00445BB5"/>
    <w:rsid w:val="00447662"/>
    <w:rsid w:val="00447D35"/>
    <w:rsid w:val="00447E2A"/>
    <w:rsid w:val="0045382B"/>
    <w:rsid w:val="00455E50"/>
    <w:rsid w:val="00456437"/>
    <w:rsid w:val="00456E42"/>
    <w:rsid w:val="004625C3"/>
    <w:rsid w:val="00466F0C"/>
    <w:rsid w:val="0047210A"/>
    <w:rsid w:val="00477727"/>
    <w:rsid w:val="004803FF"/>
    <w:rsid w:val="00483C06"/>
    <w:rsid w:val="004854CB"/>
    <w:rsid w:val="00490B7C"/>
    <w:rsid w:val="0049266B"/>
    <w:rsid w:val="00492A13"/>
    <w:rsid w:val="00494419"/>
    <w:rsid w:val="0049450F"/>
    <w:rsid w:val="00497724"/>
    <w:rsid w:val="00497C48"/>
    <w:rsid w:val="004A09BB"/>
    <w:rsid w:val="004A0D3F"/>
    <w:rsid w:val="004A1D40"/>
    <w:rsid w:val="004A2F38"/>
    <w:rsid w:val="004A455E"/>
    <w:rsid w:val="004A5529"/>
    <w:rsid w:val="004B2AE3"/>
    <w:rsid w:val="004B4F38"/>
    <w:rsid w:val="004C1296"/>
    <w:rsid w:val="004C3A27"/>
    <w:rsid w:val="004D384A"/>
    <w:rsid w:val="004D752C"/>
    <w:rsid w:val="004F210A"/>
    <w:rsid w:val="004F4000"/>
    <w:rsid w:val="004F58D0"/>
    <w:rsid w:val="0050007D"/>
    <w:rsid w:val="00500142"/>
    <w:rsid w:val="00502CBE"/>
    <w:rsid w:val="00513517"/>
    <w:rsid w:val="0051366D"/>
    <w:rsid w:val="00514349"/>
    <w:rsid w:val="005153D6"/>
    <w:rsid w:val="00516803"/>
    <w:rsid w:val="00516E23"/>
    <w:rsid w:val="0052277F"/>
    <w:rsid w:val="005238A0"/>
    <w:rsid w:val="00525D3A"/>
    <w:rsid w:val="005377DC"/>
    <w:rsid w:val="00537905"/>
    <w:rsid w:val="00541684"/>
    <w:rsid w:val="00542510"/>
    <w:rsid w:val="00544CB5"/>
    <w:rsid w:val="00550B6C"/>
    <w:rsid w:val="00550FE1"/>
    <w:rsid w:val="00554A17"/>
    <w:rsid w:val="0055716C"/>
    <w:rsid w:val="0055796B"/>
    <w:rsid w:val="005638E2"/>
    <w:rsid w:val="00564462"/>
    <w:rsid w:val="00582C3C"/>
    <w:rsid w:val="00583898"/>
    <w:rsid w:val="00584CEF"/>
    <w:rsid w:val="00584F89"/>
    <w:rsid w:val="00586E99"/>
    <w:rsid w:val="00591632"/>
    <w:rsid w:val="005950C0"/>
    <w:rsid w:val="005A0B47"/>
    <w:rsid w:val="005A1E4E"/>
    <w:rsid w:val="005A3BDE"/>
    <w:rsid w:val="005A577F"/>
    <w:rsid w:val="005A7297"/>
    <w:rsid w:val="005B21E3"/>
    <w:rsid w:val="005B35D5"/>
    <w:rsid w:val="005B3DB3"/>
    <w:rsid w:val="005B4687"/>
    <w:rsid w:val="005B527C"/>
    <w:rsid w:val="005C259D"/>
    <w:rsid w:val="005C278F"/>
    <w:rsid w:val="005C5EE1"/>
    <w:rsid w:val="005C7850"/>
    <w:rsid w:val="005F040A"/>
    <w:rsid w:val="005F244D"/>
    <w:rsid w:val="006000C7"/>
    <w:rsid w:val="00606A4F"/>
    <w:rsid w:val="0060722F"/>
    <w:rsid w:val="006103FB"/>
    <w:rsid w:val="006154BD"/>
    <w:rsid w:val="00616213"/>
    <w:rsid w:val="006165FF"/>
    <w:rsid w:val="0062191A"/>
    <w:rsid w:val="0063259A"/>
    <w:rsid w:val="00634D29"/>
    <w:rsid w:val="006379FA"/>
    <w:rsid w:val="00640438"/>
    <w:rsid w:val="0064139E"/>
    <w:rsid w:val="006424C2"/>
    <w:rsid w:val="00644C77"/>
    <w:rsid w:val="00650101"/>
    <w:rsid w:val="00650918"/>
    <w:rsid w:val="00656411"/>
    <w:rsid w:val="00656D43"/>
    <w:rsid w:val="00657574"/>
    <w:rsid w:val="0066090B"/>
    <w:rsid w:val="00660A66"/>
    <w:rsid w:val="00665B09"/>
    <w:rsid w:val="006707D5"/>
    <w:rsid w:val="00672DDF"/>
    <w:rsid w:val="00673A9E"/>
    <w:rsid w:val="00673E57"/>
    <w:rsid w:val="006756B8"/>
    <w:rsid w:val="00675F87"/>
    <w:rsid w:val="00677391"/>
    <w:rsid w:val="00680696"/>
    <w:rsid w:val="00681FB3"/>
    <w:rsid w:val="00683E6E"/>
    <w:rsid w:val="0068455B"/>
    <w:rsid w:val="0068536D"/>
    <w:rsid w:val="006868B9"/>
    <w:rsid w:val="0069332B"/>
    <w:rsid w:val="00693D77"/>
    <w:rsid w:val="0069609A"/>
    <w:rsid w:val="00697170"/>
    <w:rsid w:val="006A3113"/>
    <w:rsid w:val="006A5028"/>
    <w:rsid w:val="006A59CE"/>
    <w:rsid w:val="006A5FD4"/>
    <w:rsid w:val="006A7E87"/>
    <w:rsid w:val="006B3B58"/>
    <w:rsid w:val="006B780B"/>
    <w:rsid w:val="006C0FB2"/>
    <w:rsid w:val="006C6A6D"/>
    <w:rsid w:val="006D13A5"/>
    <w:rsid w:val="006E06CC"/>
    <w:rsid w:val="006E488D"/>
    <w:rsid w:val="006E6DCC"/>
    <w:rsid w:val="006F7C90"/>
    <w:rsid w:val="007013D8"/>
    <w:rsid w:val="00703BAA"/>
    <w:rsid w:val="007042FF"/>
    <w:rsid w:val="00706132"/>
    <w:rsid w:val="00706B50"/>
    <w:rsid w:val="007104C4"/>
    <w:rsid w:val="00715E96"/>
    <w:rsid w:val="007172F3"/>
    <w:rsid w:val="00717309"/>
    <w:rsid w:val="00721138"/>
    <w:rsid w:val="00724266"/>
    <w:rsid w:val="007243E2"/>
    <w:rsid w:val="00731687"/>
    <w:rsid w:val="007322AE"/>
    <w:rsid w:val="00733DE5"/>
    <w:rsid w:val="007340DF"/>
    <w:rsid w:val="00736F2B"/>
    <w:rsid w:val="007409D3"/>
    <w:rsid w:val="00741ED1"/>
    <w:rsid w:val="0074486A"/>
    <w:rsid w:val="007520F7"/>
    <w:rsid w:val="00757D3D"/>
    <w:rsid w:val="0076061C"/>
    <w:rsid w:val="00762779"/>
    <w:rsid w:val="00764E20"/>
    <w:rsid w:val="00765327"/>
    <w:rsid w:val="00767074"/>
    <w:rsid w:val="00767786"/>
    <w:rsid w:val="007706C1"/>
    <w:rsid w:val="00775DBC"/>
    <w:rsid w:val="007827AB"/>
    <w:rsid w:val="00782DEC"/>
    <w:rsid w:val="00784B13"/>
    <w:rsid w:val="00785115"/>
    <w:rsid w:val="007854D5"/>
    <w:rsid w:val="00793C4B"/>
    <w:rsid w:val="00797E8D"/>
    <w:rsid w:val="007A01ED"/>
    <w:rsid w:val="007A5D10"/>
    <w:rsid w:val="007B11B2"/>
    <w:rsid w:val="007B2D62"/>
    <w:rsid w:val="007B3252"/>
    <w:rsid w:val="007C0B7D"/>
    <w:rsid w:val="007C5E2B"/>
    <w:rsid w:val="007D216F"/>
    <w:rsid w:val="007D7477"/>
    <w:rsid w:val="007E1112"/>
    <w:rsid w:val="007E201B"/>
    <w:rsid w:val="007E60BD"/>
    <w:rsid w:val="007E6697"/>
    <w:rsid w:val="007F1B6E"/>
    <w:rsid w:val="007F4DDF"/>
    <w:rsid w:val="008013B9"/>
    <w:rsid w:val="00802583"/>
    <w:rsid w:val="00804F1F"/>
    <w:rsid w:val="00807A24"/>
    <w:rsid w:val="00807A5C"/>
    <w:rsid w:val="0081311D"/>
    <w:rsid w:val="00816068"/>
    <w:rsid w:val="0082256E"/>
    <w:rsid w:val="00822886"/>
    <w:rsid w:val="0082545C"/>
    <w:rsid w:val="00832CB5"/>
    <w:rsid w:val="00833909"/>
    <w:rsid w:val="00833F72"/>
    <w:rsid w:val="00834CD4"/>
    <w:rsid w:val="008356C0"/>
    <w:rsid w:val="0083622C"/>
    <w:rsid w:val="0083634A"/>
    <w:rsid w:val="00841109"/>
    <w:rsid w:val="0084193D"/>
    <w:rsid w:val="008432A7"/>
    <w:rsid w:val="0084473A"/>
    <w:rsid w:val="00852C14"/>
    <w:rsid w:val="008537C9"/>
    <w:rsid w:val="00853871"/>
    <w:rsid w:val="0085406C"/>
    <w:rsid w:val="00856CE6"/>
    <w:rsid w:val="00857473"/>
    <w:rsid w:val="00860B19"/>
    <w:rsid w:val="008647E5"/>
    <w:rsid w:val="008722F7"/>
    <w:rsid w:val="008772FE"/>
    <w:rsid w:val="008817F7"/>
    <w:rsid w:val="008839FB"/>
    <w:rsid w:val="00884F7D"/>
    <w:rsid w:val="00886A2F"/>
    <w:rsid w:val="008878E6"/>
    <w:rsid w:val="00887AA6"/>
    <w:rsid w:val="00890972"/>
    <w:rsid w:val="00893F98"/>
    <w:rsid w:val="0089715A"/>
    <w:rsid w:val="008A057C"/>
    <w:rsid w:val="008A26D4"/>
    <w:rsid w:val="008A4E4A"/>
    <w:rsid w:val="008A526D"/>
    <w:rsid w:val="008A70BA"/>
    <w:rsid w:val="008B0483"/>
    <w:rsid w:val="008B133A"/>
    <w:rsid w:val="008B1B19"/>
    <w:rsid w:val="008C2B15"/>
    <w:rsid w:val="008D100F"/>
    <w:rsid w:val="008D34DF"/>
    <w:rsid w:val="008D3702"/>
    <w:rsid w:val="008D3957"/>
    <w:rsid w:val="008D3CCF"/>
    <w:rsid w:val="008D47B0"/>
    <w:rsid w:val="008D6E1A"/>
    <w:rsid w:val="008D7C1C"/>
    <w:rsid w:val="008E0166"/>
    <w:rsid w:val="008E2524"/>
    <w:rsid w:val="008E280E"/>
    <w:rsid w:val="008E43D2"/>
    <w:rsid w:val="008E5446"/>
    <w:rsid w:val="008F0E9D"/>
    <w:rsid w:val="008F3A89"/>
    <w:rsid w:val="008F3DCB"/>
    <w:rsid w:val="008F3EC1"/>
    <w:rsid w:val="008F530C"/>
    <w:rsid w:val="008F66B6"/>
    <w:rsid w:val="008F6B6B"/>
    <w:rsid w:val="0090273A"/>
    <w:rsid w:val="009122B1"/>
    <w:rsid w:val="009133B2"/>
    <w:rsid w:val="00916BCE"/>
    <w:rsid w:val="00920F8C"/>
    <w:rsid w:val="009217ED"/>
    <w:rsid w:val="009221E3"/>
    <w:rsid w:val="0092733A"/>
    <w:rsid w:val="00927947"/>
    <w:rsid w:val="009318E9"/>
    <w:rsid w:val="0093243D"/>
    <w:rsid w:val="00933742"/>
    <w:rsid w:val="00934005"/>
    <w:rsid w:val="00934C6F"/>
    <w:rsid w:val="00934EFE"/>
    <w:rsid w:val="009408FC"/>
    <w:rsid w:val="00941721"/>
    <w:rsid w:val="00942179"/>
    <w:rsid w:val="00943515"/>
    <w:rsid w:val="00944826"/>
    <w:rsid w:val="00945699"/>
    <w:rsid w:val="00947B88"/>
    <w:rsid w:val="00950AD2"/>
    <w:rsid w:val="009565DD"/>
    <w:rsid w:val="00956B2B"/>
    <w:rsid w:val="00957D85"/>
    <w:rsid w:val="00960667"/>
    <w:rsid w:val="0096158A"/>
    <w:rsid w:val="009615E1"/>
    <w:rsid w:val="009616DF"/>
    <w:rsid w:val="00965635"/>
    <w:rsid w:val="0097246B"/>
    <w:rsid w:val="00973252"/>
    <w:rsid w:val="009734AC"/>
    <w:rsid w:val="00975109"/>
    <w:rsid w:val="00975B1B"/>
    <w:rsid w:val="00980D43"/>
    <w:rsid w:val="009837F6"/>
    <w:rsid w:val="009851CA"/>
    <w:rsid w:val="00985389"/>
    <w:rsid w:val="00987606"/>
    <w:rsid w:val="00987A72"/>
    <w:rsid w:val="0099109F"/>
    <w:rsid w:val="009911EE"/>
    <w:rsid w:val="00991AF8"/>
    <w:rsid w:val="009928F5"/>
    <w:rsid w:val="00992A14"/>
    <w:rsid w:val="0099540B"/>
    <w:rsid w:val="0099569D"/>
    <w:rsid w:val="00997BE6"/>
    <w:rsid w:val="009A054F"/>
    <w:rsid w:val="009A1E0A"/>
    <w:rsid w:val="009A34A5"/>
    <w:rsid w:val="009A4D5E"/>
    <w:rsid w:val="009A4D84"/>
    <w:rsid w:val="009A5D40"/>
    <w:rsid w:val="009B275C"/>
    <w:rsid w:val="009B54B5"/>
    <w:rsid w:val="009B6085"/>
    <w:rsid w:val="009C244C"/>
    <w:rsid w:val="009C2A74"/>
    <w:rsid w:val="009C2DD9"/>
    <w:rsid w:val="009C53A8"/>
    <w:rsid w:val="009D20A3"/>
    <w:rsid w:val="009D3D1F"/>
    <w:rsid w:val="009D57C9"/>
    <w:rsid w:val="009D642E"/>
    <w:rsid w:val="009D7A51"/>
    <w:rsid w:val="009E213A"/>
    <w:rsid w:val="009E32C2"/>
    <w:rsid w:val="009E4D63"/>
    <w:rsid w:val="009E66A0"/>
    <w:rsid w:val="009E68D6"/>
    <w:rsid w:val="009E70A4"/>
    <w:rsid w:val="009E78DD"/>
    <w:rsid w:val="009F56D9"/>
    <w:rsid w:val="009F5714"/>
    <w:rsid w:val="009F5839"/>
    <w:rsid w:val="009F5861"/>
    <w:rsid w:val="00A00F70"/>
    <w:rsid w:val="00A01E20"/>
    <w:rsid w:val="00A02975"/>
    <w:rsid w:val="00A12A04"/>
    <w:rsid w:val="00A204ED"/>
    <w:rsid w:val="00A24AFE"/>
    <w:rsid w:val="00A2599F"/>
    <w:rsid w:val="00A26792"/>
    <w:rsid w:val="00A42BF2"/>
    <w:rsid w:val="00A4348F"/>
    <w:rsid w:val="00A44AE7"/>
    <w:rsid w:val="00A4534A"/>
    <w:rsid w:val="00A453A1"/>
    <w:rsid w:val="00A453CD"/>
    <w:rsid w:val="00A453F4"/>
    <w:rsid w:val="00A45A5E"/>
    <w:rsid w:val="00A475D5"/>
    <w:rsid w:val="00A53C51"/>
    <w:rsid w:val="00A554E4"/>
    <w:rsid w:val="00A6020B"/>
    <w:rsid w:val="00A613DC"/>
    <w:rsid w:val="00A61DD3"/>
    <w:rsid w:val="00A61EC5"/>
    <w:rsid w:val="00A6343C"/>
    <w:rsid w:val="00A6607A"/>
    <w:rsid w:val="00A70F68"/>
    <w:rsid w:val="00A80956"/>
    <w:rsid w:val="00A8225E"/>
    <w:rsid w:val="00A82712"/>
    <w:rsid w:val="00A83D1E"/>
    <w:rsid w:val="00A8561C"/>
    <w:rsid w:val="00A87FBD"/>
    <w:rsid w:val="00A92048"/>
    <w:rsid w:val="00A93435"/>
    <w:rsid w:val="00A93638"/>
    <w:rsid w:val="00A94E3B"/>
    <w:rsid w:val="00AA0347"/>
    <w:rsid w:val="00AA3EB3"/>
    <w:rsid w:val="00AB09CF"/>
    <w:rsid w:val="00AB0E4A"/>
    <w:rsid w:val="00AB3F75"/>
    <w:rsid w:val="00AB6AEF"/>
    <w:rsid w:val="00AB6BA5"/>
    <w:rsid w:val="00AC1D53"/>
    <w:rsid w:val="00AC3DD7"/>
    <w:rsid w:val="00AD26E3"/>
    <w:rsid w:val="00AD46BD"/>
    <w:rsid w:val="00AE22A3"/>
    <w:rsid w:val="00AE2F2C"/>
    <w:rsid w:val="00AE3C9A"/>
    <w:rsid w:val="00AF0369"/>
    <w:rsid w:val="00AF1D7B"/>
    <w:rsid w:val="00AF41F5"/>
    <w:rsid w:val="00AF5B48"/>
    <w:rsid w:val="00AF656C"/>
    <w:rsid w:val="00B06072"/>
    <w:rsid w:val="00B1013A"/>
    <w:rsid w:val="00B11E7B"/>
    <w:rsid w:val="00B1239A"/>
    <w:rsid w:val="00B12E7E"/>
    <w:rsid w:val="00B14486"/>
    <w:rsid w:val="00B167DF"/>
    <w:rsid w:val="00B16941"/>
    <w:rsid w:val="00B222D8"/>
    <w:rsid w:val="00B22B54"/>
    <w:rsid w:val="00B23FCA"/>
    <w:rsid w:val="00B256A7"/>
    <w:rsid w:val="00B319F0"/>
    <w:rsid w:val="00B35562"/>
    <w:rsid w:val="00B4067F"/>
    <w:rsid w:val="00B413C3"/>
    <w:rsid w:val="00B44728"/>
    <w:rsid w:val="00B462A7"/>
    <w:rsid w:val="00B52832"/>
    <w:rsid w:val="00B54967"/>
    <w:rsid w:val="00B55ED1"/>
    <w:rsid w:val="00B561C1"/>
    <w:rsid w:val="00B64C95"/>
    <w:rsid w:val="00B65598"/>
    <w:rsid w:val="00B664E3"/>
    <w:rsid w:val="00B671A6"/>
    <w:rsid w:val="00B714BC"/>
    <w:rsid w:val="00B76537"/>
    <w:rsid w:val="00B7680A"/>
    <w:rsid w:val="00B77CBD"/>
    <w:rsid w:val="00B82BD7"/>
    <w:rsid w:val="00B832DD"/>
    <w:rsid w:val="00B83DD3"/>
    <w:rsid w:val="00B84BCC"/>
    <w:rsid w:val="00B85AE9"/>
    <w:rsid w:val="00B8632F"/>
    <w:rsid w:val="00B874F2"/>
    <w:rsid w:val="00B92865"/>
    <w:rsid w:val="00B928AF"/>
    <w:rsid w:val="00B965F7"/>
    <w:rsid w:val="00BA090D"/>
    <w:rsid w:val="00BA2B97"/>
    <w:rsid w:val="00BA2E0A"/>
    <w:rsid w:val="00BA707C"/>
    <w:rsid w:val="00BB2A2D"/>
    <w:rsid w:val="00BB2ACA"/>
    <w:rsid w:val="00BB45EA"/>
    <w:rsid w:val="00BB511D"/>
    <w:rsid w:val="00BB7000"/>
    <w:rsid w:val="00BC2F3F"/>
    <w:rsid w:val="00BC39F9"/>
    <w:rsid w:val="00BC520A"/>
    <w:rsid w:val="00BC5496"/>
    <w:rsid w:val="00BD41B5"/>
    <w:rsid w:val="00BD5144"/>
    <w:rsid w:val="00BD6DBA"/>
    <w:rsid w:val="00BD70F7"/>
    <w:rsid w:val="00BD7F73"/>
    <w:rsid w:val="00BE021C"/>
    <w:rsid w:val="00BE3E8B"/>
    <w:rsid w:val="00BF0B65"/>
    <w:rsid w:val="00BF29F6"/>
    <w:rsid w:val="00BF2E93"/>
    <w:rsid w:val="00BF5EB6"/>
    <w:rsid w:val="00BF616D"/>
    <w:rsid w:val="00C01835"/>
    <w:rsid w:val="00C13232"/>
    <w:rsid w:val="00C21A07"/>
    <w:rsid w:val="00C26EFE"/>
    <w:rsid w:val="00C27E41"/>
    <w:rsid w:val="00C31013"/>
    <w:rsid w:val="00C321CC"/>
    <w:rsid w:val="00C369A2"/>
    <w:rsid w:val="00C40E91"/>
    <w:rsid w:val="00C41F44"/>
    <w:rsid w:val="00C4348B"/>
    <w:rsid w:val="00C44A1A"/>
    <w:rsid w:val="00C470C8"/>
    <w:rsid w:val="00C51A7C"/>
    <w:rsid w:val="00C52A79"/>
    <w:rsid w:val="00C53882"/>
    <w:rsid w:val="00C55970"/>
    <w:rsid w:val="00C6075E"/>
    <w:rsid w:val="00C6206D"/>
    <w:rsid w:val="00C6230B"/>
    <w:rsid w:val="00C64849"/>
    <w:rsid w:val="00C74430"/>
    <w:rsid w:val="00C7625C"/>
    <w:rsid w:val="00C7727D"/>
    <w:rsid w:val="00C80123"/>
    <w:rsid w:val="00C83F7E"/>
    <w:rsid w:val="00C87314"/>
    <w:rsid w:val="00C947AB"/>
    <w:rsid w:val="00C961AE"/>
    <w:rsid w:val="00CA34F0"/>
    <w:rsid w:val="00CA5531"/>
    <w:rsid w:val="00CA6912"/>
    <w:rsid w:val="00CB0F59"/>
    <w:rsid w:val="00CB11BA"/>
    <w:rsid w:val="00CB7527"/>
    <w:rsid w:val="00CC2FBB"/>
    <w:rsid w:val="00CC41B2"/>
    <w:rsid w:val="00CC4809"/>
    <w:rsid w:val="00CC6A76"/>
    <w:rsid w:val="00CD2311"/>
    <w:rsid w:val="00CD7214"/>
    <w:rsid w:val="00CD7604"/>
    <w:rsid w:val="00CE5137"/>
    <w:rsid w:val="00CF01C1"/>
    <w:rsid w:val="00CF23C3"/>
    <w:rsid w:val="00CF37CB"/>
    <w:rsid w:val="00CF3F01"/>
    <w:rsid w:val="00CF5B5A"/>
    <w:rsid w:val="00D028DB"/>
    <w:rsid w:val="00D02E2C"/>
    <w:rsid w:val="00D03312"/>
    <w:rsid w:val="00D03A75"/>
    <w:rsid w:val="00D21153"/>
    <w:rsid w:val="00D21E9F"/>
    <w:rsid w:val="00D21FB3"/>
    <w:rsid w:val="00D26529"/>
    <w:rsid w:val="00D27D8C"/>
    <w:rsid w:val="00D27DAF"/>
    <w:rsid w:val="00D33736"/>
    <w:rsid w:val="00D33EDF"/>
    <w:rsid w:val="00D34792"/>
    <w:rsid w:val="00D37073"/>
    <w:rsid w:val="00D37EEB"/>
    <w:rsid w:val="00D44B70"/>
    <w:rsid w:val="00D46890"/>
    <w:rsid w:val="00D5010E"/>
    <w:rsid w:val="00D52949"/>
    <w:rsid w:val="00D53858"/>
    <w:rsid w:val="00D53B3A"/>
    <w:rsid w:val="00D544D9"/>
    <w:rsid w:val="00D55A9D"/>
    <w:rsid w:val="00D55DD9"/>
    <w:rsid w:val="00D56573"/>
    <w:rsid w:val="00D57FB5"/>
    <w:rsid w:val="00D6045D"/>
    <w:rsid w:val="00D60879"/>
    <w:rsid w:val="00D64D30"/>
    <w:rsid w:val="00D657B1"/>
    <w:rsid w:val="00D7118A"/>
    <w:rsid w:val="00D73479"/>
    <w:rsid w:val="00D74EB3"/>
    <w:rsid w:val="00D7616A"/>
    <w:rsid w:val="00D77FC7"/>
    <w:rsid w:val="00D842ED"/>
    <w:rsid w:val="00D84DC0"/>
    <w:rsid w:val="00D87BAC"/>
    <w:rsid w:val="00D9162F"/>
    <w:rsid w:val="00D920F2"/>
    <w:rsid w:val="00DA2C26"/>
    <w:rsid w:val="00DA5779"/>
    <w:rsid w:val="00DA6D9F"/>
    <w:rsid w:val="00DA7414"/>
    <w:rsid w:val="00DB0536"/>
    <w:rsid w:val="00DB326E"/>
    <w:rsid w:val="00DB3C64"/>
    <w:rsid w:val="00DB54C3"/>
    <w:rsid w:val="00DB5C8F"/>
    <w:rsid w:val="00DC1D64"/>
    <w:rsid w:val="00DC2884"/>
    <w:rsid w:val="00DC3D58"/>
    <w:rsid w:val="00DC6551"/>
    <w:rsid w:val="00DC7702"/>
    <w:rsid w:val="00DD4747"/>
    <w:rsid w:val="00DD6BEB"/>
    <w:rsid w:val="00DE2C3D"/>
    <w:rsid w:val="00DE36DF"/>
    <w:rsid w:val="00DE3A9C"/>
    <w:rsid w:val="00DE5445"/>
    <w:rsid w:val="00DF29EC"/>
    <w:rsid w:val="00DF2C5E"/>
    <w:rsid w:val="00DF486E"/>
    <w:rsid w:val="00DF4CF7"/>
    <w:rsid w:val="00DF5181"/>
    <w:rsid w:val="00DF7525"/>
    <w:rsid w:val="00DF7DEE"/>
    <w:rsid w:val="00E00240"/>
    <w:rsid w:val="00E00968"/>
    <w:rsid w:val="00E017DD"/>
    <w:rsid w:val="00E05426"/>
    <w:rsid w:val="00E05D48"/>
    <w:rsid w:val="00E0752E"/>
    <w:rsid w:val="00E07DA4"/>
    <w:rsid w:val="00E116A9"/>
    <w:rsid w:val="00E13E24"/>
    <w:rsid w:val="00E2110C"/>
    <w:rsid w:val="00E21D51"/>
    <w:rsid w:val="00E22CA5"/>
    <w:rsid w:val="00E3542C"/>
    <w:rsid w:val="00E376E4"/>
    <w:rsid w:val="00E37E3E"/>
    <w:rsid w:val="00E37FF3"/>
    <w:rsid w:val="00E4112C"/>
    <w:rsid w:val="00E53BE2"/>
    <w:rsid w:val="00E56083"/>
    <w:rsid w:val="00E56CFF"/>
    <w:rsid w:val="00E616C0"/>
    <w:rsid w:val="00E61E57"/>
    <w:rsid w:val="00E63054"/>
    <w:rsid w:val="00E637A4"/>
    <w:rsid w:val="00E65332"/>
    <w:rsid w:val="00E65533"/>
    <w:rsid w:val="00E703C8"/>
    <w:rsid w:val="00E735AF"/>
    <w:rsid w:val="00E765DF"/>
    <w:rsid w:val="00E7789C"/>
    <w:rsid w:val="00E850A5"/>
    <w:rsid w:val="00E85668"/>
    <w:rsid w:val="00E87A33"/>
    <w:rsid w:val="00E87DC4"/>
    <w:rsid w:val="00E9321B"/>
    <w:rsid w:val="00E9338F"/>
    <w:rsid w:val="00E933F3"/>
    <w:rsid w:val="00EA33A1"/>
    <w:rsid w:val="00EA4C64"/>
    <w:rsid w:val="00EA5D88"/>
    <w:rsid w:val="00EB1BDF"/>
    <w:rsid w:val="00EB327D"/>
    <w:rsid w:val="00EB5327"/>
    <w:rsid w:val="00EB5FF2"/>
    <w:rsid w:val="00EC288D"/>
    <w:rsid w:val="00EC2D5F"/>
    <w:rsid w:val="00EC6A12"/>
    <w:rsid w:val="00ED00C2"/>
    <w:rsid w:val="00ED4544"/>
    <w:rsid w:val="00EE3959"/>
    <w:rsid w:val="00EE3D53"/>
    <w:rsid w:val="00EE6BE7"/>
    <w:rsid w:val="00EF31D3"/>
    <w:rsid w:val="00F01AE6"/>
    <w:rsid w:val="00F05B50"/>
    <w:rsid w:val="00F062EF"/>
    <w:rsid w:val="00F072CC"/>
    <w:rsid w:val="00F07737"/>
    <w:rsid w:val="00F07AE9"/>
    <w:rsid w:val="00F11795"/>
    <w:rsid w:val="00F11CE5"/>
    <w:rsid w:val="00F11E47"/>
    <w:rsid w:val="00F135EC"/>
    <w:rsid w:val="00F155CF"/>
    <w:rsid w:val="00F15BF7"/>
    <w:rsid w:val="00F204D1"/>
    <w:rsid w:val="00F210EF"/>
    <w:rsid w:val="00F22D0E"/>
    <w:rsid w:val="00F22D3D"/>
    <w:rsid w:val="00F2726E"/>
    <w:rsid w:val="00F27C0F"/>
    <w:rsid w:val="00F30F36"/>
    <w:rsid w:val="00F326E7"/>
    <w:rsid w:val="00F34DB8"/>
    <w:rsid w:val="00F3520C"/>
    <w:rsid w:val="00F3583F"/>
    <w:rsid w:val="00F3725C"/>
    <w:rsid w:val="00F43C53"/>
    <w:rsid w:val="00F47A5E"/>
    <w:rsid w:val="00F47C90"/>
    <w:rsid w:val="00F51AC1"/>
    <w:rsid w:val="00F53C5B"/>
    <w:rsid w:val="00F54A97"/>
    <w:rsid w:val="00F558BB"/>
    <w:rsid w:val="00F56EFD"/>
    <w:rsid w:val="00F5791B"/>
    <w:rsid w:val="00F62C99"/>
    <w:rsid w:val="00F66522"/>
    <w:rsid w:val="00F66C45"/>
    <w:rsid w:val="00F70BB7"/>
    <w:rsid w:val="00F75E48"/>
    <w:rsid w:val="00F76230"/>
    <w:rsid w:val="00F762FF"/>
    <w:rsid w:val="00F76AFA"/>
    <w:rsid w:val="00F770FF"/>
    <w:rsid w:val="00F77917"/>
    <w:rsid w:val="00F77F8E"/>
    <w:rsid w:val="00F8716D"/>
    <w:rsid w:val="00F87A9A"/>
    <w:rsid w:val="00F9552F"/>
    <w:rsid w:val="00F95722"/>
    <w:rsid w:val="00F95931"/>
    <w:rsid w:val="00FA1517"/>
    <w:rsid w:val="00FA4060"/>
    <w:rsid w:val="00FA45A6"/>
    <w:rsid w:val="00FA4D66"/>
    <w:rsid w:val="00FA5A03"/>
    <w:rsid w:val="00FA76DD"/>
    <w:rsid w:val="00FB4E5E"/>
    <w:rsid w:val="00FB531B"/>
    <w:rsid w:val="00FB631B"/>
    <w:rsid w:val="00FC30BA"/>
    <w:rsid w:val="00FD11BB"/>
    <w:rsid w:val="00FD1B89"/>
    <w:rsid w:val="00FD2A4E"/>
    <w:rsid w:val="00FD4BE5"/>
    <w:rsid w:val="00FD5F78"/>
    <w:rsid w:val="00FD6710"/>
    <w:rsid w:val="00FE193E"/>
    <w:rsid w:val="00FE33C4"/>
    <w:rsid w:val="00FE5AD5"/>
    <w:rsid w:val="00FF3563"/>
    <w:rsid w:val="00FF45EA"/>
    <w:rsid w:val="00FF7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A0B54-5837-4646-B2FC-45B92A1B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5CF"/>
  </w:style>
  <w:style w:type="paragraph" w:styleId="Nagwek1">
    <w:name w:val="heading 1"/>
    <w:basedOn w:val="Normalny"/>
    <w:next w:val="Normalny"/>
    <w:link w:val="Nagwek1Znak"/>
    <w:autoRedefine/>
    <w:uiPriority w:val="9"/>
    <w:qFormat/>
    <w:rsid w:val="00427EA6"/>
    <w:pPr>
      <w:numPr>
        <w:numId w:val="4"/>
      </w:numPr>
      <w:outlineLvl w:val="0"/>
    </w:pPr>
    <w:rPr>
      <w:rFonts w:ascii="Tahoma" w:eastAsiaTheme="majorEastAsia" w:hAnsi="Tahoma" w:cstheme="majorBidi"/>
      <w:b/>
      <w:bCs/>
      <w:sz w:val="24"/>
      <w:szCs w:val="28"/>
    </w:rPr>
  </w:style>
  <w:style w:type="paragraph" w:styleId="Nagwek2">
    <w:name w:val="heading 2"/>
    <w:basedOn w:val="Normalny"/>
    <w:next w:val="Normalny"/>
    <w:link w:val="Nagwek2Znak"/>
    <w:autoRedefine/>
    <w:uiPriority w:val="9"/>
    <w:unhideWhenUsed/>
    <w:qFormat/>
    <w:rsid w:val="00A26792"/>
    <w:pPr>
      <w:keepNext/>
      <w:keepLines/>
      <w:numPr>
        <w:ilvl w:val="1"/>
        <w:numId w:val="1"/>
      </w:numPr>
      <w:spacing w:before="200" w:after="0"/>
      <w:outlineLvl w:val="1"/>
    </w:pPr>
    <w:rPr>
      <w:rFonts w:ascii="Tahoma" w:eastAsiaTheme="majorEastAsia" w:hAnsi="Tahoma" w:cstheme="majorBidi"/>
      <w:b/>
      <w:bCs/>
      <w:sz w:val="24"/>
      <w:szCs w:val="26"/>
    </w:rPr>
  </w:style>
  <w:style w:type="paragraph" w:styleId="Nagwek3">
    <w:name w:val="heading 3"/>
    <w:basedOn w:val="Normalny"/>
    <w:next w:val="Normalny"/>
    <w:link w:val="Nagwek3Znak"/>
    <w:uiPriority w:val="9"/>
    <w:qFormat/>
    <w:rsid w:val="00DA5779"/>
    <w:pPr>
      <w:keepNext/>
      <w:numPr>
        <w:ilvl w:val="2"/>
        <w:numId w:val="4"/>
      </w:numPr>
      <w:spacing w:after="0" w:line="240" w:lineRule="auto"/>
      <w:jc w:val="both"/>
      <w:outlineLvl w:val="2"/>
    </w:pPr>
    <w:rPr>
      <w:rFonts w:ascii="Arial" w:eastAsiaTheme="minorEastAsia" w:hAnsi="Arial" w:cs="Times New Roman"/>
      <w:b/>
      <w:szCs w:val="20"/>
      <w:lang w:eastAsia="pl-PL"/>
    </w:rPr>
  </w:style>
  <w:style w:type="paragraph" w:styleId="Nagwek4">
    <w:name w:val="heading 4"/>
    <w:basedOn w:val="Normalny"/>
    <w:next w:val="Normalny"/>
    <w:link w:val="Nagwek4Znak"/>
    <w:uiPriority w:val="9"/>
    <w:qFormat/>
    <w:rsid w:val="00DA5779"/>
    <w:pPr>
      <w:keepNext/>
      <w:numPr>
        <w:ilvl w:val="3"/>
        <w:numId w:val="4"/>
      </w:numPr>
      <w:spacing w:after="0" w:line="240" w:lineRule="auto"/>
      <w:outlineLvl w:val="3"/>
    </w:pPr>
    <w:rPr>
      <w:rFonts w:ascii="Arial" w:eastAsiaTheme="minorEastAsia" w:hAnsi="Arial" w:cs="Times New Roman"/>
      <w:b/>
      <w:szCs w:val="20"/>
      <w:lang w:eastAsia="pl-PL"/>
    </w:rPr>
  </w:style>
  <w:style w:type="paragraph" w:styleId="Nagwek5">
    <w:name w:val="heading 5"/>
    <w:basedOn w:val="Normalny"/>
    <w:next w:val="Normalny"/>
    <w:link w:val="Nagwek5Znak"/>
    <w:uiPriority w:val="9"/>
    <w:semiHidden/>
    <w:unhideWhenUsed/>
    <w:qFormat/>
    <w:rsid w:val="00A87FB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87FB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87FB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87FB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87FB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6792"/>
    <w:rPr>
      <w:rFonts w:ascii="Tahoma" w:eastAsiaTheme="majorEastAsia" w:hAnsi="Tahoma" w:cstheme="majorBidi"/>
      <w:b/>
      <w:bCs/>
      <w:sz w:val="24"/>
      <w:szCs w:val="26"/>
    </w:rPr>
  </w:style>
  <w:style w:type="character" w:customStyle="1" w:styleId="Nagwek1Znak">
    <w:name w:val="Nagłówek 1 Znak"/>
    <w:basedOn w:val="Domylnaczcionkaakapitu"/>
    <w:link w:val="Nagwek1"/>
    <w:uiPriority w:val="9"/>
    <w:rsid w:val="00427EA6"/>
    <w:rPr>
      <w:rFonts w:ascii="Tahoma" w:eastAsiaTheme="majorEastAsia" w:hAnsi="Tahoma" w:cstheme="majorBidi"/>
      <w:b/>
      <w:bCs/>
      <w:sz w:val="24"/>
      <w:szCs w:val="28"/>
    </w:rPr>
  </w:style>
  <w:style w:type="paragraph" w:styleId="Akapitzlist">
    <w:name w:val="List Paragraph"/>
    <w:basedOn w:val="Normalny"/>
    <w:uiPriority w:val="34"/>
    <w:qFormat/>
    <w:rsid w:val="005B4687"/>
    <w:pPr>
      <w:ind w:left="720"/>
      <w:contextualSpacing/>
    </w:pPr>
  </w:style>
  <w:style w:type="character" w:customStyle="1" w:styleId="Nagwek3Znak">
    <w:name w:val="Nagłówek 3 Znak"/>
    <w:basedOn w:val="Domylnaczcionkaakapitu"/>
    <w:link w:val="Nagwek3"/>
    <w:uiPriority w:val="9"/>
    <w:rsid w:val="00DA5779"/>
    <w:rPr>
      <w:rFonts w:ascii="Arial" w:eastAsiaTheme="minorEastAsia" w:hAnsi="Arial" w:cs="Times New Roman"/>
      <w:b/>
      <w:szCs w:val="20"/>
      <w:lang w:eastAsia="pl-PL"/>
    </w:rPr>
  </w:style>
  <w:style w:type="character" w:customStyle="1" w:styleId="Nagwek4Znak">
    <w:name w:val="Nagłówek 4 Znak"/>
    <w:basedOn w:val="Domylnaczcionkaakapitu"/>
    <w:link w:val="Nagwek4"/>
    <w:uiPriority w:val="9"/>
    <w:rsid w:val="00DA5779"/>
    <w:rPr>
      <w:rFonts w:ascii="Arial" w:eastAsiaTheme="minorEastAsia" w:hAnsi="Arial" w:cs="Times New Roman"/>
      <w:b/>
      <w:szCs w:val="20"/>
      <w:lang w:eastAsia="pl-PL"/>
    </w:rPr>
  </w:style>
  <w:style w:type="paragraph" w:styleId="Tekstpodstawowywcity">
    <w:name w:val="Body Text Indent"/>
    <w:basedOn w:val="Normalny"/>
    <w:link w:val="TekstpodstawowywcityZnak"/>
    <w:uiPriority w:val="99"/>
    <w:rsid w:val="00DA5779"/>
    <w:pPr>
      <w:spacing w:after="0" w:line="240" w:lineRule="auto"/>
      <w:ind w:left="567"/>
      <w:jc w:val="both"/>
    </w:pPr>
    <w:rPr>
      <w:rFonts w:ascii="Arial" w:eastAsiaTheme="minorEastAsia" w:hAnsi="Arial" w:cs="Times New Roman"/>
      <w:b/>
      <w:sz w:val="20"/>
      <w:szCs w:val="20"/>
      <w:lang w:eastAsia="pl-PL"/>
    </w:rPr>
  </w:style>
  <w:style w:type="character" w:customStyle="1" w:styleId="TekstpodstawowywcityZnak">
    <w:name w:val="Tekst podstawowy wcięty Znak"/>
    <w:basedOn w:val="Domylnaczcionkaakapitu"/>
    <w:link w:val="Tekstpodstawowywcity"/>
    <w:uiPriority w:val="99"/>
    <w:rsid w:val="00DA5779"/>
    <w:rPr>
      <w:rFonts w:ascii="Arial" w:eastAsiaTheme="minorEastAsia" w:hAnsi="Arial" w:cs="Times New Roman"/>
      <w:b/>
      <w:sz w:val="20"/>
      <w:szCs w:val="20"/>
      <w:lang w:eastAsia="pl-PL"/>
    </w:rPr>
  </w:style>
  <w:style w:type="paragraph" w:styleId="Tekstblokowy">
    <w:name w:val="Block Text"/>
    <w:basedOn w:val="Normalny"/>
    <w:uiPriority w:val="99"/>
    <w:rsid w:val="00DA5779"/>
    <w:pPr>
      <w:tabs>
        <w:tab w:val="left" w:pos="851"/>
      </w:tabs>
      <w:spacing w:after="0" w:line="240" w:lineRule="auto"/>
      <w:ind w:left="567" w:right="-1" w:hanging="567"/>
      <w:jc w:val="both"/>
    </w:pPr>
    <w:rPr>
      <w:rFonts w:ascii="Arial" w:eastAsiaTheme="minorEastAsia" w:hAnsi="Arial" w:cs="Times New Roman"/>
      <w:b/>
      <w:sz w:val="20"/>
      <w:szCs w:val="20"/>
      <w:lang w:eastAsia="pl-PL"/>
    </w:rPr>
  </w:style>
  <w:style w:type="character" w:styleId="Numerstrony">
    <w:name w:val="page number"/>
    <w:basedOn w:val="Domylnaczcionkaakapitu"/>
    <w:uiPriority w:val="99"/>
    <w:rsid w:val="00DA5779"/>
    <w:rPr>
      <w:rFonts w:cs="Times New Roman"/>
    </w:rPr>
  </w:style>
  <w:style w:type="paragraph" w:styleId="Stopka">
    <w:name w:val="footer"/>
    <w:basedOn w:val="Normalny"/>
    <w:link w:val="StopkaZnak"/>
    <w:uiPriority w:val="99"/>
    <w:rsid w:val="00DA5779"/>
    <w:pPr>
      <w:tabs>
        <w:tab w:val="center" w:pos="4536"/>
        <w:tab w:val="right" w:pos="9072"/>
      </w:tabs>
      <w:spacing w:after="0" w:line="240" w:lineRule="auto"/>
    </w:pPr>
    <w:rPr>
      <w:rFonts w:ascii="Times New Roman" w:eastAsiaTheme="minorEastAsia" w:hAnsi="Times New Roman" w:cs="Times New Roman"/>
      <w:sz w:val="20"/>
      <w:szCs w:val="20"/>
      <w:lang w:eastAsia="pl-PL"/>
    </w:rPr>
  </w:style>
  <w:style w:type="character" w:customStyle="1" w:styleId="StopkaZnak">
    <w:name w:val="Stopka Znak"/>
    <w:basedOn w:val="Domylnaczcionkaakapitu"/>
    <w:link w:val="Stopka"/>
    <w:uiPriority w:val="99"/>
    <w:rsid w:val="00DA5779"/>
    <w:rPr>
      <w:rFonts w:ascii="Times New Roman" w:eastAsiaTheme="minorEastAsia" w:hAnsi="Times New Roman" w:cs="Times New Roman"/>
      <w:sz w:val="20"/>
      <w:szCs w:val="20"/>
      <w:lang w:eastAsia="pl-PL"/>
    </w:rPr>
  </w:style>
  <w:style w:type="paragraph" w:styleId="Tekstpodstawowywcity2">
    <w:name w:val="Body Text Indent 2"/>
    <w:basedOn w:val="Normalny"/>
    <w:link w:val="Tekstpodstawowywcity2Znak"/>
    <w:uiPriority w:val="99"/>
    <w:rsid w:val="00DA5779"/>
    <w:pPr>
      <w:spacing w:after="0" w:line="240" w:lineRule="auto"/>
      <w:ind w:left="708"/>
      <w:jc w:val="both"/>
    </w:pPr>
    <w:rPr>
      <w:rFonts w:ascii="Arial" w:eastAsiaTheme="minorEastAsia" w:hAnsi="Arial" w:cs="Times New Roman"/>
      <w:b/>
      <w:sz w:val="20"/>
      <w:szCs w:val="20"/>
      <w:lang w:eastAsia="pl-PL"/>
    </w:rPr>
  </w:style>
  <w:style w:type="character" w:customStyle="1" w:styleId="Tekstpodstawowywcity2Znak">
    <w:name w:val="Tekst podstawowy wcięty 2 Znak"/>
    <w:basedOn w:val="Domylnaczcionkaakapitu"/>
    <w:link w:val="Tekstpodstawowywcity2"/>
    <w:uiPriority w:val="99"/>
    <w:rsid w:val="00DA5779"/>
    <w:rPr>
      <w:rFonts w:ascii="Arial" w:eastAsiaTheme="minorEastAsia" w:hAnsi="Arial" w:cs="Times New Roman"/>
      <w:b/>
      <w:sz w:val="20"/>
      <w:szCs w:val="20"/>
      <w:lang w:eastAsia="pl-PL"/>
    </w:rPr>
  </w:style>
  <w:style w:type="paragraph" w:styleId="Nagwek">
    <w:name w:val="header"/>
    <w:aliases w:val="E.e"/>
    <w:basedOn w:val="Normalny"/>
    <w:link w:val="NagwekZnak"/>
    <w:uiPriority w:val="99"/>
    <w:rsid w:val="00DA5779"/>
    <w:pPr>
      <w:tabs>
        <w:tab w:val="center" w:pos="4536"/>
        <w:tab w:val="right" w:pos="9072"/>
      </w:tabs>
      <w:spacing w:after="0" w:line="240" w:lineRule="auto"/>
    </w:pPr>
    <w:rPr>
      <w:rFonts w:ascii="Times New Roman" w:eastAsiaTheme="minorEastAsia" w:hAnsi="Times New Roman" w:cs="Times New Roman"/>
      <w:sz w:val="20"/>
      <w:szCs w:val="20"/>
      <w:lang w:eastAsia="pl-PL"/>
    </w:rPr>
  </w:style>
  <w:style w:type="character" w:customStyle="1" w:styleId="NagwekZnak">
    <w:name w:val="Nagłówek Znak"/>
    <w:aliases w:val="E.e Znak"/>
    <w:basedOn w:val="Domylnaczcionkaakapitu"/>
    <w:link w:val="Nagwek"/>
    <w:uiPriority w:val="99"/>
    <w:rsid w:val="00DA5779"/>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rsid w:val="00DA5779"/>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DA5779"/>
    <w:rPr>
      <w:rFonts w:ascii="Tahoma" w:eastAsiaTheme="minorEastAsia" w:hAnsi="Tahoma" w:cs="Tahoma"/>
      <w:sz w:val="16"/>
      <w:szCs w:val="16"/>
      <w:lang w:eastAsia="pl-PL"/>
    </w:rPr>
  </w:style>
  <w:style w:type="character" w:styleId="Hipercze">
    <w:name w:val="Hyperlink"/>
    <w:basedOn w:val="Domylnaczcionkaakapitu"/>
    <w:uiPriority w:val="99"/>
    <w:rsid w:val="00DA5779"/>
    <w:rPr>
      <w:rFonts w:cs="Times New Roman"/>
      <w:color w:val="0000FF"/>
      <w:u w:val="single"/>
    </w:rPr>
  </w:style>
  <w:style w:type="paragraph" w:styleId="Tekstprzypisukocowego">
    <w:name w:val="endnote text"/>
    <w:basedOn w:val="Normalny"/>
    <w:link w:val="TekstprzypisukocowegoZnak"/>
    <w:uiPriority w:val="99"/>
    <w:semiHidden/>
    <w:rsid w:val="00DA5779"/>
    <w:pPr>
      <w:spacing w:after="0" w:line="240" w:lineRule="auto"/>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A5779"/>
    <w:rPr>
      <w:rFonts w:ascii="Times New Roman" w:eastAsiaTheme="minorEastAsia" w:hAnsi="Times New Roman" w:cs="Times New Roman"/>
      <w:sz w:val="20"/>
      <w:szCs w:val="20"/>
      <w:lang w:eastAsia="pl-PL"/>
    </w:rPr>
  </w:style>
  <w:style w:type="paragraph" w:styleId="Zwykytekst">
    <w:name w:val="Plain Text"/>
    <w:basedOn w:val="Normalny"/>
    <w:link w:val="ZwykytekstZnak"/>
    <w:uiPriority w:val="99"/>
    <w:rsid w:val="00DA5779"/>
    <w:pPr>
      <w:spacing w:after="0" w:line="240" w:lineRule="auto"/>
    </w:pPr>
    <w:rPr>
      <w:rFonts w:ascii="Courier New" w:eastAsiaTheme="minorEastAsia" w:hAnsi="Courier New" w:cs="Times New Roman"/>
      <w:sz w:val="20"/>
      <w:szCs w:val="20"/>
      <w:lang w:eastAsia="pl-PL"/>
    </w:rPr>
  </w:style>
  <w:style w:type="character" w:customStyle="1" w:styleId="ZwykytekstZnak">
    <w:name w:val="Zwykły tekst Znak"/>
    <w:basedOn w:val="Domylnaczcionkaakapitu"/>
    <w:link w:val="Zwykytekst"/>
    <w:uiPriority w:val="99"/>
    <w:rsid w:val="00DA5779"/>
    <w:rPr>
      <w:rFonts w:ascii="Courier New" w:eastAsiaTheme="minorEastAsia" w:hAnsi="Courier New" w:cs="Times New Roman"/>
      <w:sz w:val="20"/>
      <w:szCs w:val="20"/>
      <w:lang w:eastAsia="pl-PL"/>
    </w:rPr>
  </w:style>
  <w:style w:type="character" w:styleId="Odwoaniedokomentarza">
    <w:name w:val="annotation reference"/>
    <w:basedOn w:val="Domylnaczcionkaakapitu"/>
    <w:uiPriority w:val="99"/>
    <w:rsid w:val="00DA5779"/>
    <w:rPr>
      <w:rFonts w:cs="Times New Roman"/>
      <w:sz w:val="16"/>
      <w:szCs w:val="16"/>
    </w:rPr>
  </w:style>
  <w:style w:type="paragraph" w:styleId="Tekstkomentarza">
    <w:name w:val="annotation text"/>
    <w:basedOn w:val="Normalny"/>
    <w:link w:val="TekstkomentarzaZnak"/>
    <w:uiPriority w:val="99"/>
    <w:rsid w:val="00DA5779"/>
    <w:pPr>
      <w:spacing w:after="0" w:line="240" w:lineRule="auto"/>
    </w:pPr>
    <w:rPr>
      <w:rFonts w:ascii="Times New Roman" w:eastAsiaTheme="minorEastAsia"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A5779"/>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A5779"/>
    <w:rPr>
      <w:b/>
      <w:bCs/>
    </w:rPr>
  </w:style>
  <w:style w:type="character" w:customStyle="1" w:styleId="TematkomentarzaZnak">
    <w:name w:val="Temat komentarza Znak"/>
    <w:basedOn w:val="TekstkomentarzaZnak"/>
    <w:link w:val="Tematkomentarza"/>
    <w:uiPriority w:val="99"/>
    <w:rsid w:val="00DA5779"/>
    <w:rPr>
      <w:rFonts w:ascii="Times New Roman" w:eastAsiaTheme="minorEastAsia" w:hAnsi="Times New Roman" w:cs="Times New Roman"/>
      <w:b/>
      <w:bCs/>
      <w:sz w:val="20"/>
      <w:szCs w:val="20"/>
      <w:lang w:eastAsia="pl-PL"/>
    </w:rPr>
  </w:style>
  <w:style w:type="character" w:styleId="UyteHipercze">
    <w:name w:val="FollowedHyperlink"/>
    <w:basedOn w:val="Domylnaczcionkaakapitu"/>
    <w:uiPriority w:val="99"/>
    <w:unhideWhenUsed/>
    <w:rsid w:val="00DA5779"/>
    <w:rPr>
      <w:rFonts w:cs="Times New Roman"/>
      <w:color w:val="800080"/>
      <w:u w:val="single"/>
    </w:rPr>
  </w:style>
  <w:style w:type="paragraph" w:customStyle="1" w:styleId="font5">
    <w:name w:val="font5"/>
    <w:basedOn w:val="Normalny"/>
    <w:rsid w:val="00DA5779"/>
    <w:pPr>
      <w:spacing w:before="100" w:beforeAutospacing="1" w:after="100" w:afterAutospacing="1" w:line="240" w:lineRule="auto"/>
    </w:pPr>
    <w:rPr>
      <w:rFonts w:ascii="Arial" w:eastAsiaTheme="minorEastAsia" w:hAnsi="Arial" w:cs="Arial"/>
      <w:sz w:val="16"/>
      <w:szCs w:val="16"/>
      <w:lang w:eastAsia="pl-PL"/>
    </w:rPr>
  </w:style>
  <w:style w:type="paragraph" w:customStyle="1" w:styleId="font6">
    <w:name w:val="font6"/>
    <w:basedOn w:val="Normalny"/>
    <w:rsid w:val="00DA5779"/>
    <w:pPr>
      <w:spacing w:before="100" w:beforeAutospacing="1" w:after="100" w:afterAutospacing="1" w:line="240" w:lineRule="auto"/>
    </w:pPr>
    <w:rPr>
      <w:rFonts w:ascii="Arial" w:eastAsiaTheme="minorEastAsia" w:hAnsi="Arial" w:cs="Arial"/>
      <w:b/>
      <w:bCs/>
      <w:sz w:val="16"/>
      <w:szCs w:val="16"/>
      <w:lang w:eastAsia="pl-PL"/>
    </w:rPr>
  </w:style>
  <w:style w:type="paragraph" w:customStyle="1" w:styleId="font7">
    <w:name w:val="font7"/>
    <w:basedOn w:val="Normalny"/>
    <w:rsid w:val="00DA5779"/>
    <w:pPr>
      <w:spacing w:before="100" w:beforeAutospacing="1" w:after="100" w:afterAutospacing="1" w:line="240" w:lineRule="auto"/>
    </w:pPr>
    <w:rPr>
      <w:rFonts w:ascii="Arial" w:eastAsiaTheme="minorEastAsia" w:hAnsi="Arial" w:cs="Arial"/>
      <w:color w:val="000000"/>
      <w:sz w:val="16"/>
      <w:szCs w:val="16"/>
      <w:lang w:eastAsia="pl-PL"/>
    </w:rPr>
  </w:style>
  <w:style w:type="paragraph" w:customStyle="1" w:styleId="font8">
    <w:name w:val="font8"/>
    <w:basedOn w:val="Normalny"/>
    <w:rsid w:val="00DA5779"/>
    <w:pPr>
      <w:spacing w:before="100" w:beforeAutospacing="1" w:after="100" w:afterAutospacing="1" w:line="240" w:lineRule="auto"/>
    </w:pPr>
    <w:rPr>
      <w:rFonts w:ascii="Arial" w:eastAsiaTheme="minorEastAsia" w:hAnsi="Arial" w:cs="Arial"/>
      <w:b/>
      <w:bCs/>
      <w:color w:val="FF0000"/>
      <w:sz w:val="16"/>
      <w:szCs w:val="16"/>
      <w:lang w:eastAsia="pl-PL"/>
    </w:rPr>
  </w:style>
  <w:style w:type="paragraph" w:customStyle="1" w:styleId="font9">
    <w:name w:val="font9"/>
    <w:basedOn w:val="Normalny"/>
    <w:rsid w:val="00DA5779"/>
    <w:pPr>
      <w:spacing w:before="100" w:beforeAutospacing="1" w:after="100" w:afterAutospacing="1" w:line="240" w:lineRule="auto"/>
    </w:pPr>
    <w:rPr>
      <w:rFonts w:ascii="Arial" w:eastAsiaTheme="minorEastAsia" w:hAnsi="Arial" w:cs="Arial"/>
      <w:b/>
      <w:bCs/>
      <w:color w:val="000000"/>
      <w:sz w:val="16"/>
      <w:szCs w:val="16"/>
      <w:lang w:eastAsia="pl-PL"/>
    </w:rPr>
  </w:style>
  <w:style w:type="paragraph" w:customStyle="1" w:styleId="xl65">
    <w:name w:val="xl65"/>
    <w:basedOn w:val="Normalny"/>
    <w:rsid w:val="00DA5779"/>
    <w:pP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66">
    <w:name w:val="xl66"/>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16"/>
      <w:szCs w:val="16"/>
      <w:lang w:eastAsia="pl-PL"/>
    </w:rPr>
  </w:style>
  <w:style w:type="paragraph" w:customStyle="1" w:styleId="xl67">
    <w:name w:val="xl67"/>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68">
    <w:name w:val="xl68"/>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sz w:val="16"/>
      <w:szCs w:val="16"/>
      <w:lang w:eastAsia="pl-PL"/>
    </w:rPr>
  </w:style>
  <w:style w:type="paragraph" w:customStyle="1" w:styleId="xl69">
    <w:name w:val="xl69"/>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s="Times New Roman"/>
      <w:sz w:val="16"/>
      <w:szCs w:val="16"/>
      <w:lang w:eastAsia="pl-PL"/>
    </w:rPr>
  </w:style>
  <w:style w:type="paragraph" w:customStyle="1" w:styleId="xl70">
    <w:name w:val="xl70"/>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71">
    <w:name w:val="xl71"/>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72">
    <w:name w:val="xl72"/>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color w:val="000000"/>
      <w:sz w:val="16"/>
      <w:szCs w:val="16"/>
      <w:lang w:eastAsia="pl-PL"/>
    </w:rPr>
  </w:style>
  <w:style w:type="paragraph" w:customStyle="1" w:styleId="xl73">
    <w:name w:val="xl73"/>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color w:val="000000"/>
      <w:sz w:val="16"/>
      <w:szCs w:val="16"/>
      <w:lang w:eastAsia="pl-PL"/>
    </w:rPr>
  </w:style>
  <w:style w:type="paragraph" w:customStyle="1" w:styleId="xl74">
    <w:name w:val="xl74"/>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75">
    <w:name w:val="xl75"/>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76">
    <w:name w:val="xl76"/>
    <w:basedOn w:val="Normalny"/>
    <w:rsid w:val="00DA5779"/>
    <w:pPr>
      <w:shd w:val="clear" w:color="000000" w:fill="FFFFFF"/>
      <w:spacing w:before="100" w:beforeAutospacing="1" w:after="100" w:afterAutospacing="1" w:line="240" w:lineRule="auto"/>
    </w:pPr>
    <w:rPr>
      <w:rFonts w:ascii="Times New Roman" w:eastAsiaTheme="minorEastAsia" w:hAnsi="Times New Roman" w:cs="Times New Roman"/>
      <w:b/>
      <w:bCs/>
      <w:sz w:val="24"/>
      <w:szCs w:val="24"/>
      <w:u w:val="single"/>
      <w:lang w:eastAsia="pl-PL"/>
    </w:rPr>
  </w:style>
  <w:style w:type="paragraph" w:customStyle="1" w:styleId="xl77">
    <w:name w:val="xl77"/>
    <w:basedOn w:val="Normalny"/>
    <w:rsid w:val="00DA5779"/>
    <w:pPr>
      <w:shd w:val="clear" w:color="000000" w:fill="FFFFFF"/>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xl78">
    <w:name w:val="xl78"/>
    <w:basedOn w:val="Normalny"/>
    <w:rsid w:val="00DA5779"/>
    <w:pPr>
      <w:shd w:val="clear" w:color="000000" w:fill="FFFFFF"/>
      <w:spacing w:before="100" w:beforeAutospacing="1" w:after="100" w:afterAutospacing="1" w:line="240" w:lineRule="auto"/>
    </w:pPr>
    <w:rPr>
      <w:rFonts w:ascii="Times New Roman" w:eastAsiaTheme="minorEastAsia" w:hAnsi="Times New Roman" w:cs="Times New Roman"/>
      <w:sz w:val="24"/>
      <w:szCs w:val="24"/>
      <w:u w:val="single"/>
      <w:lang w:eastAsia="pl-PL"/>
    </w:rPr>
  </w:style>
  <w:style w:type="paragraph" w:customStyle="1" w:styleId="xl79">
    <w:name w:val="xl79"/>
    <w:basedOn w:val="Normalny"/>
    <w:rsid w:val="00DA5779"/>
    <w:pPr>
      <w:shd w:val="clear" w:color="000000" w:fill="FFFFFF"/>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80">
    <w:name w:val="xl80"/>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81">
    <w:name w:val="xl81"/>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82">
    <w:name w:val="xl82"/>
    <w:basedOn w:val="Normalny"/>
    <w:rsid w:val="00DA5779"/>
    <w:pPr>
      <w:spacing w:before="100" w:beforeAutospacing="1" w:after="100" w:afterAutospacing="1" w:line="240" w:lineRule="auto"/>
      <w:textAlignment w:val="center"/>
    </w:pPr>
    <w:rPr>
      <w:rFonts w:ascii="Times New Roman" w:eastAsiaTheme="minorEastAsia" w:hAnsi="Times New Roman" w:cs="Times New Roman"/>
      <w:sz w:val="18"/>
      <w:szCs w:val="18"/>
      <w:lang w:eastAsia="pl-PL"/>
    </w:rPr>
  </w:style>
  <w:style w:type="paragraph" w:customStyle="1" w:styleId="xl83">
    <w:name w:val="xl83"/>
    <w:basedOn w:val="Normalny"/>
    <w:rsid w:val="00DA5779"/>
    <w:pPr>
      <w:shd w:val="clear" w:color="000000" w:fill="FFFFFF"/>
      <w:spacing w:before="100" w:beforeAutospacing="1" w:after="100" w:afterAutospacing="1" w:line="240" w:lineRule="auto"/>
      <w:textAlignment w:val="center"/>
    </w:pPr>
    <w:rPr>
      <w:rFonts w:ascii="Times New Roman" w:eastAsiaTheme="minorEastAsia" w:hAnsi="Times New Roman" w:cs="Times New Roman"/>
      <w:sz w:val="18"/>
      <w:szCs w:val="18"/>
      <w:lang w:eastAsia="pl-PL"/>
    </w:rPr>
  </w:style>
  <w:style w:type="paragraph" w:customStyle="1" w:styleId="xl84">
    <w:name w:val="xl84"/>
    <w:basedOn w:val="Normalny"/>
    <w:rsid w:val="00DA5779"/>
    <w:pPr>
      <w:spacing w:before="100" w:beforeAutospacing="1" w:after="100" w:afterAutospacing="1" w:line="240" w:lineRule="auto"/>
      <w:jc w:val="right"/>
      <w:textAlignment w:val="center"/>
    </w:pPr>
    <w:rPr>
      <w:rFonts w:ascii="Times New Roman" w:eastAsiaTheme="minorEastAsia" w:hAnsi="Times New Roman" w:cs="Times New Roman"/>
      <w:b/>
      <w:bCs/>
      <w:sz w:val="18"/>
      <w:szCs w:val="18"/>
      <w:lang w:eastAsia="pl-PL"/>
    </w:rPr>
  </w:style>
  <w:style w:type="paragraph" w:customStyle="1" w:styleId="xl85">
    <w:name w:val="xl85"/>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86">
    <w:name w:val="xl86"/>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87">
    <w:name w:val="xl87"/>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color w:val="000000"/>
      <w:sz w:val="16"/>
      <w:szCs w:val="16"/>
      <w:lang w:eastAsia="pl-PL"/>
    </w:rPr>
  </w:style>
  <w:style w:type="paragraph" w:customStyle="1" w:styleId="xl88">
    <w:name w:val="xl88"/>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89">
    <w:name w:val="xl89"/>
    <w:basedOn w:val="Normalny"/>
    <w:rsid w:val="00DA5779"/>
    <w:pP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90">
    <w:name w:val="xl90"/>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1">
    <w:name w:val="xl91"/>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2">
    <w:name w:val="xl92"/>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3">
    <w:name w:val="xl93"/>
    <w:basedOn w:val="Normalny"/>
    <w:rsid w:val="00DA5779"/>
    <w:pPr>
      <w:pBdr>
        <w:top w:val="single" w:sz="4" w:space="0" w:color="000000"/>
        <w:right w:val="single" w:sz="4" w:space="0" w:color="000000"/>
      </w:pBd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4">
    <w:name w:val="xl94"/>
    <w:basedOn w:val="Normalny"/>
    <w:rsid w:val="00DA577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16"/>
      <w:szCs w:val="16"/>
      <w:lang w:eastAsia="pl-PL"/>
    </w:rPr>
  </w:style>
  <w:style w:type="paragraph" w:customStyle="1" w:styleId="xl95">
    <w:name w:val="xl95"/>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color w:val="000000"/>
      <w:sz w:val="16"/>
      <w:szCs w:val="16"/>
      <w:lang w:eastAsia="pl-PL"/>
    </w:rPr>
  </w:style>
  <w:style w:type="paragraph" w:customStyle="1" w:styleId="xl96">
    <w:name w:val="xl96"/>
    <w:basedOn w:val="Normalny"/>
    <w:rsid w:val="00DA577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heme="minorEastAsia" w:hAnsi="Times New Roman" w:cs="Times New Roman"/>
      <w:sz w:val="16"/>
      <w:szCs w:val="16"/>
      <w:lang w:eastAsia="pl-PL"/>
    </w:rPr>
  </w:style>
  <w:style w:type="paragraph" w:customStyle="1" w:styleId="xl97">
    <w:name w:val="xl97"/>
    <w:basedOn w:val="Normalny"/>
    <w:rsid w:val="00DA57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heme="minorEastAsia" w:hAnsi="Times New Roman" w:cs="Times New Roman"/>
      <w:sz w:val="16"/>
      <w:szCs w:val="16"/>
      <w:lang w:eastAsia="pl-PL"/>
    </w:rPr>
  </w:style>
  <w:style w:type="paragraph" w:customStyle="1" w:styleId="xl98">
    <w:name w:val="xl98"/>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99">
    <w:name w:val="xl99"/>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z w:val="16"/>
      <w:szCs w:val="16"/>
      <w:lang w:eastAsia="pl-PL"/>
    </w:rPr>
  </w:style>
  <w:style w:type="paragraph" w:customStyle="1" w:styleId="xl100">
    <w:name w:val="xl100"/>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16"/>
      <w:szCs w:val="16"/>
      <w:lang w:eastAsia="pl-PL"/>
    </w:rPr>
  </w:style>
  <w:style w:type="paragraph" w:customStyle="1" w:styleId="xl101">
    <w:name w:val="xl101"/>
    <w:basedOn w:val="Normalny"/>
    <w:rsid w:val="00DA5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16"/>
      <w:szCs w:val="16"/>
      <w:lang w:eastAsia="pl-PL"/>
    </w:rPr>
  </w:style>
  <w:style w:type="paragraph" w:customStyle="1" w:styleId="xl102">
    <w:name w:val="xl102"/>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16"/>
      <w:szCs w:val="16"/>
      <w:lang w:eastAsia="pl-PL"/>
    </w:rPr>
  </w:style>
  <w:style w:type="paragraph" w:customStyle="1" w:styleId="xl103">
    <w:name w:val="xl103"/>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16"/>
      <w:szCs w:val="16"/>
      <w:lang w:eastAsia="pl-PL"/>
    </w:rPr>
  </w:style>
  <w:style w:type="paragraph" w:customStyle="1" w:styleId="xl104">
    <w:name w:val="xl104"/>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z w:val="18"/>
      <w:szCs w:val="18"/>
      <w:lang w:eastAsia="pl-PL"/>
    </w:rPr>
  </w:style>
  <w:style w:type="paragraph" w:customStyle="1" w:styleId="xl105">
    <w:name w:val="xl105"/>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z w:val="18"/>
      <w:szCs w:val="18"/>
      <w:lang w:eastAsia="pl-PL"/>
    </w:rPr>
  </w:style>
  <w:style w:type="paragraph" w:customStyle="1" w:styleId="xl106">
    <w:name w:val="xl106"/>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z w:val="18"/>
      <w:szCs w:val="18"/>
      <w:lang w:eastAsia="pl-PL"/>
    </w:rPr>
  </w:style>
  <w:style w:type="paragraph" w:customStyle="1" w:styleId="xl107">
    <w:name w:val="xl107"/>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heme="minorEastAsia" w:hAnsi="Times New Roman" w:cs="Times New Roman"/>
      <w:b/>
      <w:bCs/>
      <w:sz w:val="16"/>
      <w:szCs w:val="16"/>
      <w:lang w:eastAsia="pl-PL"/>
    </w:rPr>
  </w:style>
  <w:style w:type="paragraph" w:customStyle="1" w:styleId="xl108">
    <w:name w:val="xl108"/>
    <w:basedOn w:val="Normalny"/>
    <w:rsid w:val="00DA5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s="Times New Roman"/>
      <w:sz w:val="16"/>
      <w:szCs w:val="16"/>
      <w:lang w:eastAsia="pl-PL"/>
    </w:rPr>
  </w:style>
  <w:style w:type="paragraph" w:customStyle="1" w:styleId="xl109">
    <w:name w:val="xl109"/>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heme="minorEastAsia" w:hAnsi="Times New Roman" w:cs="Times New Roman"/>
      <w:b/>
      <w:bCs/>
      <w:sz w:val="16"/>
      <w:szCs w:val="16"/>
      <w:lang w:eastAsia="pl-PL"/>
    </w:rPr>
  </w:style>
  <w:style w:type="paragraph" w:customStyle="1" w:styleId="xl110">
    <w:name w:val="xl110"/>
    <w:basedOn w:val="Normalny"/>
    <w:rsid w:val="00DA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b/>
      <w:bCs/>
      <w:sz w:val="16"/>
      <w:szCs w:val="16"/>
      <w:lang w:eastAsia="pl-PL"/>
    </w:rPr>
  </w:style>
  <w:style w:type="paragraph" w:customStyle="1" w:styleId="Standardowywlewo">
    <w:name w:val="Standardowy w lewo"/>
    <w:basedOn w:val="Normalny"/>
    <w:rsid w:val="009C2A74"/>
    <w:pPr>
      <w:spacing w:after="0"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uiPriority w:val="59"/>
    <w:rsid w:val="004D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A87F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87F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87F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87FB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87FBD"/>
    <w:rPr>
      <w:rFonts w:asciiTheme="majorHAnsi" w:eastAsiaTheme="majorEastAsia" w:hAnsiTheme="majorHAnsi" w:cstheme="majorBidi"/>
      <w:i/>
      <w:iCs/>
      <w:color w:val="404040" w:themeColor="text1" w:themeTint="BF"/>
      <w:sz w:val="20"/>
      <w:szCs w:val="20"/>
    </w:rPr>
  </w:style>
  <w:style w:type="character" w:styleId="Odwoanieprzypisukocowego">
    <w:name w:val="endnote reference"/>
    <w:basedOn w:val="Domylnaczcionkaakapitu"/>
    <w:uiPriority w:val="99"/>
    <w:semiHidden/>
    <w:unhideWhenUsed/>
    <w:rsid w:val="00A12A04"/>
    <w:rPr>
      <w:vertAlign w:val="superscript"/>
    </w:rPr>
  </w:style>
  <w:style w:type="character" w:customStyle="1" w:styleId="st">
    <w:name w:val="st"/>
    <w:basedOn w:val="Domylnaczcionkaakapitu"/>
    <w:rsid w:val="00024EE3"/>
  </w:style>
  <w:style w:type="paragraph" w:customStyle="1" w:styleId="Style4">
    <w:name w:val="Style4"/>
    <w:basedOn w:val="Normalny"/>
    <w:uiPriority w:val="99"/>
    <w:rsid w:val="00785115"/>
    <w:pPr>
      <w:widowControl w:val="0"/>
      <w:autoSpaceDE w:val="0"/>
      <w:autoSpaceDN w:val="0"/>
      <w:adjustRightInd w:val="0"/>
      <w:spacing w:after="0" w:line="245" w:lineRule="exact"/>
    </w:pPr>
    <w:rPr>
      <w:rFonts w:ascii="Gungsuh" w:eastAsia="Gungsuh" w:hAnsi="Calibri" w:cs="Times New Roman"/>
      <w:sz w:val="24"/>
      <w:szCs w:val="24"/>
      <w:lang w:eastAsia="pl-PL"/>
    </w:rPr>
  </w:style>
  <w:style w:type="paragraph" w:customStyle="1" w:styleId="Style9">
    <w:name w:val="Style9"/>
    <w:basedOn w:val="Normalny"/>
    <w:uiPriority w:val="99"/>
    <w:rsid w:val="00785115"/>
    <w:pPr>
      <w:widowControl w:val="0"/>
      <w:autoSpaceDE w:val="0"/>
      <w:autoSpaceDN w:val="0"/>
      <w:adjustRightInd w:val="0"/>
      <w:spacing w:after="0" w:line="246" w:lineRule="exact"/>
    </w:pPr>
    <w:rPr>
      <w:rFonts w:ascii="Gungsuh" w:eastAsia="Gungsuh" w:hAnsi="Calibri" w:cs="Times New Roman"/>
      <w:sz w:val="24"/>
      <w:szCs w:val="24"/>
      <w:lang w:eastAsia="pl-PL"/>
    </w:rPr>
  </w:style>
  <w:style w:type="paragraph" w:customStyle="1" w:styleId="Style13">
    <w:name w:val="Style13"/>
    <w:basedOn w:val="Normalny"/>
    <w:uiPriority w:val="99"/>
    <w:rsid w:val="00785115"/>
    <w:pPr>
      <w:widowControl w:val="0"/>
      <w:autoSpaceDE w:val="0"/>
      <w:autoSpaceDN w:val="0"/>
      <w:adjustRightInd w:val="0"/>
      <w:spacing w:after="0" w:line="242" w:lineRule="exact"/>
    </w:pPr>
    <w:rPr>
      <w:rFonts w:ascii="Gungsuh" w:eastAsia="Gungsuh" w:hAnsi="Calibri" w:cs="Times New Roman"/>
      <w:sz w:val="24"/>
      <w:szCs w:val="24"/>
      <w:lang w:eastAsia="pl-PL"/>
    </w:rPr>
  </w:style>
  <w:style w:type="character" w:customStyle="1" w:styleId="FontStyle20">
    <w:name w:val="Font Style20"/>
    <w:basedOn w:val="Domylnaczcionkaakapitu"/>
    <w:uiPriority w:val="99"/>
    <w:rsid w:val="00785115"/>
    <w:rPr>
      <w:rFonts w:ascii="Calibri" w:hAnsi="Calibri" w:cs="Calibri"/>
      <w:b/>
      <w:bCs/>
      <w:color w:val="000000"/>
      <w:spacing w:val="10"/>
      <w:sz w:val="18"/>
      <w:szCs w:val="18"/>
    </w:rPr>
  </w:style>
  <w:style w:type="character" w:customStyle="1" w:styleId="FontStyle25">
    <w:name w:val="Font Style25"/>
    <w:basedOn w:val="Domylnaczcionkaakapitu"/>
    <w:uiPriority w:val="99"/>
    <w:rsid w:val="00785115"/>
    <w:rPr>
      <w:rFonts w:ascii="Calibri" w:hAnsi="Calibri" w:cs="Calibri"/>
      <w:color w:val="000000"/>
      <w:sz w:val="18"/>
      <w:szCs w:val="18"/>
    </w:rPr>
  </w:style>
  <w:style w:type="character" w:customStyle="1" w:styleId="FontStyle34">
    <w:name w:val="Font Style34"/>
    <w:basedOn w:val="Domylnaczcionkaakapitu"/>
    <w:uiPriority w:val="99"/>
    <w:rsid w:val="00785115"/>
    <w:rPr>
      <w:rFonts w:ascii="Calibri" w:hAnsi="Calibri" w:cs="Calibri"/>
      <w:color w:val="000000"/>
      <w:sz w:val="18"/>
      <w:szCs w:val="18"/>
    </w:rPr>
  </w:style>
  <w:style w:type="paragraph" w:customStyle="1" w:styleId="Domylnie">
    <w:name w:val="Domy?lnie"/>
    <w:rsid w:val="00785115"/>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customStyle="1" w:styleId="Default">
    <w:name w:val="Default"/>
    <w:rsid w:val="00F3583F"/>
    <w:pPr>
      <w:autoSpaceDE w:val="0"/>
      <w:autoSpaceDN w:val="0"/>
      <w:adjustRightInd w:val="0"/>
      <w:spacing w:after="0" w:line="240" w:lineRule="auto"/>
    </w:pPr>
    <w:rPr>
      <w:rFonts w:ascii="Arial" w:hAnsi="Arial" w:cs="Arial"/>
      <w:color w:val="000000"/>
      <w:sz w:val="24"/>
      <w:szCs w:val="24"/>
    </w:rPr>
  </w:style>
  <w:style w:type="paragraph" w:customStyle="1" w:styleId="TableContents">
    <w:name w:val="Table Contents"/>
    <w:basedOn w:val="Normalny"/>
    <w:rsid w:val="00306ED1"/>
    <w:pPr>
      <w:widowControl w:val="0"/>
      <w:suppressLineNumbers/>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customStyle="1" w:styleId="Textbody">
    <w:name w:val="Text body"/>
    <w:basedOn w:val="Normalny"/>
    <w:rsid w:val="00306ED1"/>
    <w:pPr>
      <w:widowControl w:val="0"/>
      <w:suppressAutoHyphens/>
      <w:autoSpaceDN w:val="0"/>
      <w:spacing w:after="120" w:line="240" w:lineRule="auto"/>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723">
      <w:bodyDiv w:val="1"/>
      <w:marLeft w:val="0"/>
      <w:marRight w:val="0"/>
      <w:marTop w:val="0"/>
      <w:marBottom w:val="0"/>
      <w:divBdr>
        <w:top w:val="none" w:sz="0" w:space="0" w:color="auto"/>
        <w:left w:val="none" w:sz="0" w:space="0" w:color="auto"/>
        <w:bottom w:val="none" w:sz="0" w:space="0" w:color="auto"/>
        <w:right w:val="none" w:sz="0" w:space="0" w:color="auto"/>
      </w:divBdr>
    </w:div>
    <w:div w:id="197859922">
      <w:bodyDiv w:val="1"/>
      <w:marLeft w:val="0"/>
      <w:marRight w:val="0"/>
      <w:marTop w:val="0"/>
      <w:marBottom w:val="0"/>
      <w:divBdr>
        <w:top w:val="none" w:sz="0" w:space="0" w:color="auto"/>
        <w:left w:val="none" w:sz="0" w:space="0" w:color="auto"/>
        <w:bottom w:val="none" w:sz="0" w:space="0" w:color="auto"/>
        <w:right w:val="none" w:sz="0" w:space="0" w:color="auto"/>
      </w:divBdr>
      <w:divsChild>
        <w:div w:id="1161239858">
          <w:marLeft w:val="0"/>
          <w:marRight w:val="0"/>
          <w:marTop w:val="0"/>
          <w:marBottom w:val="0"/>
          <w:divBdr>
            <w:top w:val="none" w:sz="0" w:space="0" w:color="auto"/>
            <w:left w:val="none" w:sz="0" w:space="0" w:color="auto"/>
            <w:bottom w:val="none" w:sz="0" w:space="0" w:color="auto"/>
            <w:right w:val="none" w:sz="0" w:space="0" w:color="auto"/>
          </w:divBdr>
          <w:divsChild>
            <w:div w:id="1122188274">
              <w:marLeft w:val="0"/>
              <w:marRight w:val="0"/>
              <w:marTop w:val="0"/>
              <w:marBottom w:val="0"/>
              <w:divBdr>
                <w:top w:val="none" w:sz="0" w:space="0" w:color="auto"/>
                <w:left w:val="none" w:sz="0" w:space="0" w:color="auto"/>
                <w:bottom w:val="none" w:sz="0" w:space="0" w:color="auto"/>
                <w:right w:val="none" w:sz="0" w:space="0" w:color="auto"/>
              </w:divBdr>
              <w:divsChild>
                <w:div w:id="8797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908">
      <w:bodyDiv w:val="1"/>
      <w:marLeft w:val="0"/>
      <w:marRight w:val="0"/>
      <w:marTop w:val="0"/>
      <w:marBottom w:val="0"/>
      <w:divBdr>
        <w:top w:val="none" w:sz="0" w:space="0" w:color="auto"/>
        <w:left w:val="none" w:sz="0" w:space="0" w:color="auto"/>
        <w:bottom w:val="none" w:sz="0" w:space="0" w:color="auto"/>
        <w:right w:val="none" w:sz="0" w:space="0" w:color="auto"/>
      </w:divBdr>
    </w:div>
    <w:div w:id="218710259">
      <w:bodyDiv w:val="1"/>
      <w:marLeft w:val="0"/>
      <w:marRight w:val="0"/>
      <w:marTop w:val="0"/>
      <w:marBottom w:val="0"/>
      <w:divBdr>
        <w:top w:val="none" w:sz="0" w:space="0" w:color="auto"/>
        <w:left w:val="none" w:sz="0" w:space="0" w:color="auto"/>
        <w:bottom w:val="none" w:sz="0" w:space="0" w:color="auto"/>
        <w:right w:val="none" w:sz="0" w:space="0" w:color="auto"/>
      </w:divBdr>
      <w:divsChild>
        <w:div w:id="2088721332">
          <w:marLeft w:val="0"/>
          <w:marRight w:val="0"/>
          <w:marTop w:val="0"/>
          <w:marBottom w:val="0"/>
          <w:divBdr>
            <w:top w:val="none" w:sz="0" w:space="0" w:color="auto"/>
            <w:left w:val="none" w:sz="0" w:space="0" w:color="auto"/>
            <w:bottom w:val="none" w:sz="0" w:space="0" w:color="auto"/>
            <w:right w:val="none" w:sz="0" w:space="0" w:color="auto"/>
          </w:divBdr>
        </w:div>
        <w:div w:id="934438053">
          <w:marLeft w:val="0"/>
          <w:marRight w:val="0"/>
          <w:marTop w:val="0"/>
          <w:marBottom w:val="0"/>
          <w:divBdr>
            <w:top w:val="none" w:sz="0" w:space="0" w:color="auto"/>
            <w:left w:val="none" w:sz="0" w:space="0" w:color="auto"/>
            <w:bottom w:val="none" w:sz="0" w:space="0" w:color="auto"/>
            <w:right w:val="none" w:sz="0" w:space="0" w:color="auto"/>
          </w:divBdr>
        </w:div>
        <w:div w:id="881138769">
          <w:marLeft w:val="0"/>
          <w:marRight w:val="0"/>
          <w:marTop w:val="0"/>
          <w:marBottom w:val="0"/>
          <w:divBdr>
            <w:top w:val="none" w:sz="0" w:space="0" w:color="auto"/>
            <w:left w:val="none" w:sz="0" w:space="0" w:color="auto"/>
            <w:bottom w:val="none" w:sz="0" w:space="0" w:color="auto"/>
            <w:right w:val="none" w:sz="0" w:space="0" w:color="auto"/>
          </w:divBdr>
        </w:div>
        <w:div w:id="1360619865">
          <w:marLeft w:val="0"/>
          <w:marRight w:val="0"/>
          <w:marTop w:val="0"/>
          <w:marBottom w:val="0"/>
          <w:divBdr>
            <w:top w:val="none" w:sz="0" w:space="0" w:color="auto"/>
            <w:left w:val="none" w:sz="0" w:space="0" w:color="auto"/>
            <w:bottom w:val="none" w:sz="0" w:space="0" w:color="auto"/>
            <w:right w:val="none" w:sz="0" w:space="0" w:color="auto"/>
          </w:divBdr>
        </w:div>
        <w:div w:id="288705441">
          <w:marLeft w:val="0"/>
          <w:marRight w:val="0"/>
          <w:marTop w:val="0"/>
          <w:marBottom w:val="0"/>
          <w:divBdr>
            <w:top w:val="none" w:sz="0" w:space="0" w:color="auto"/>
            <w:left w:val="none" w:sz="0" w:space="0" w:color="auto"/>
            <w:bottom w:val="none" w:sz="0" w:space="0" w:color="auto"/>
            <w:right w:val="none" w:sz="0" w:space="0" w:color="auto"/>
          </w:divBdr>
        </w:div>
      </w:divsChild>
    </w:div>
    <w:div w:id="295841967">
      <w:bodyDiv w:val="1"/>
      <w:marLeft w:val="0"/>
      <w:marRight w:val="0"/>
      <w:marTop w:val="0"/>
      <w:marBottom w:val="0"/>
      <w:divBdr>
        <w:top w:val="none" w:sz="0" w:space="0" w:color="auto"/>
        <w:left w:val="none" w:sz="0" w:space="0" w:color="auto"/>
        <w:bottom w:val="none" w:sz="0" w:space="0" w:color="auto"/>
        <w:right w:val="none" w:sz="0" w:space="0" w:color="auto"/>
      </w:divBdr>
    </w:div>
    <w:div w:id="323902755">
      <w:bodyDiv w:val="1"/>
      <w:marLeft w:val="0"/>
      <w:marRight w:val="0"/>
      <w:marTop w:val="0"/>
      <w:marBottom w:val="0"/>
      <w:divBdr>
        <w:top w:val="none" w:sz="0" w:space="0" w:color="auto"/>
        <w:left w:val="none" w:sz="0" w:space="0" w:color="auto"/>
        <w:bottom w:val="none" w:sz="0" w:space="0" w:color="auto"/>
        <w:right w:val="none" w:sz="0" w:space="0" w:color="auto"/>
      </w:divBdr>
      <w:divsChild>
        <w:div w:id="2010131659">
          <w:marLeft w:val="0"/>
          <w:marRight w:val="0"/>
          <w:marTop w:val="0"/>
          <w:marBottom w:val="0"/>
          <w:divBdr>
            <w:top w:val="none" w:sz="0" w:space="0" w:color="auto"/>
            <w:left w:val="none" w:sz="0" w:space="0" w:color="auto"/>
            <w:bottom w:val="none" w:sz="0" w:space="0" w:color="auto"/>
            <w:right w:val="none" w:sz="0" w:space="0" w:color="auto"/>
          </w:divBdr>
        </w:div>
        <w:div w:id="153768845">
          <w:marLeft w:val="0"/>
          <w:marRight w:val="0"/>
          <w:marTop w:val="0"/>
          <w:marBottom w:val="0"/>
          <w:divBdr>
            <w:top w:val="none" w:sz="0" w:space="0" w:color="auto"/>
            <w:left w:val="none" w:sz="0" w:space="0" w:color="auto"/>
            <w:bottom w:val="none" w:sz="0" w:space="0" w:color="auto"/>
            <w:right w:val="none" w:sz="0" w:space="0" w:color="auto"/>
          </w:divBdr>
        </w:div>
        <w:div w:id="1942178934">
          <w:marLeft w:val="0"/>
          <w:marRight w:val="0"/>
          <w:marTop w:val="0"/>
          <w:marBottom w:val="0"/>
          <w:divBdr>
            <w:top w:val="none" w:sz="0" w:space="0" w:color="auto"/>
            <w:left w:val="none" w:sz="0" w:space="0" w:color="auto"/>
            <w:bottom w:val="none" w:sz="0" w:space="0" w:color="auto"/>
            <w:right w:val="none" w:sz="0" w:space="0" w:color="auto"/>
          </w:divBdr>
        </w:div>
        <w:div w:id="1520898466">
          <w:marLeft w:val="0"/>
          <w:marRight w:val="0"/>
          <w:marTop w:val="0"/>
          <w:marBottom w:val="0"/>
          <w:divBdr>
            <w:top w:val="none" w:sz="0" w:space="0" w:color="auto"/>
            <w:left w:val="none" w:sz="0" w:space="0" w:color="auto"/>
            <w:bottom w:val="none" w:sz="0" w:space="0" w:color="auto"/>
            <w:right w:val="none" w:sz="0" w:space="0" w:color="auto"/>
          </w:divBdr>
        </w:div>
        <w:div w:id="312950928">
          <w:marLeft w:val="0"/>
          <w:marRight w:val="0"/>
          <w:marTop w:val="0"/>
          <w:marBottom w:val="0"/>
          <w:divBdr>
            <w:top w:val="none" w:sz="0" w:space="0" w:color="auto"/>
            <w:left w:val="none" w:sz="0" w:space="0" w:color="auto"/>
            <w:bottom w:val="none" w:sz="0" w:space="0" w:color="auto"/>
            <w:right w:val="none" w:sz="0" w:space="0" w:color="auto"/>
          </w:divBdr>
        </w:div>
        <w:div w:id="1848715100">
          <w:marLeft w:val="0"/>
          <w:marRight w:val="0"/>
          <w:marTop w:val="0"/>
          <w:marBottom w:val="0"/>
          <w:divBdr>
            <w:top w:val="none" w:sz="0" w:space="0" w:color="auto"/>
            <w:left w:val="none" w:sz="0" w:space="0" w:color="auto"/>
            <w:bottom w:val="none" w:sz="0" w:space="0" w:color="auto"/>
            <w:right w:val="none" w:sz="0" w:space="0" w:color="auto"/>
          </w:divBdr>
        </w:div>
        <w:div w:id="1666905">
          <w:marLeft w:val="0"/>
          <w:marRight w:val="0"/>
          <w:marTop w:val="0"/>
          <w:marBottom w:val="0"/>
          <w:divBdr>
            <w:top w:val="none" w:sz="0" w:space="0" w:color="auto"/>
            <w:left w:val="none" w:sz="0" w:space="0" w:color="auto"/>
            <w:bottom w:val="none" w:sz="0" w:space="0" w:color="auto"/>
            <w:right w:val="none" w:sz="0" w:space="0" w:color="auto"/>
          </w:divBdr>
        </w:div>
        <w:div w:id="1582182976">
          <w:marLeft w:val="0"/>
          <w:marRight w:val="0"/>
          <w:marTop w:val="0"/>
          <w:marBottom w:val="0"/>
          <w:divBdr>
            <w:top w:val="none" w:sz="0" w:space="0" w:color="auto"/>
            <w:left w:val="none" w:sz="0" w:space="0" w:color="auto"/>
            <w:bottom w:val="none" w:sz="0" w:space="0" w:color="auto"/>
            <w:right w:val="none" w:sz="0" w:space="0" w:color="auto"/>
          </w:divBdr>
        </w:div>
        <w:div w:id="1737237896">
          <w:marLeft w:val="0"/>
          <w:marRight w:val="0"/>
          <w:marTop w:val="0"/>
          <w:marBottom w:val="0"/>
          <w:divBdr>
            <w:top w:val="none" w:sz="0" w:space="0" w:color="auto"/>
            <w:left w:val="none" w:sz="0" w:space="0" w:color="auto"/>
            <w:bottom w:val="none" w:sz="0" w:space="0" w:color="auto"/>
            <w:right w:val="none" w:sz="0" w:space="0" w:color="auto"/>
          </w:divBdr>
        </w:div>
        <w:div w:id="1482232788">
          <w:marLeft w:val="0"/>
          <w:marRight w:val="0"/>
          <w:marTop w:val="0"/>
          <w:marBottom w:val="0"/>
          <w:divBdr>
            <w:top w:val="none" w:sz="0" w:space="0" w:color="auto"/>
            <w:left w:val="none" w:sz="0" w:space="0" w:color="auto"/>
            <w:bottom w:val="none" w:sz="0" w:space="0" w:color="auto"/>
            <w:right w:val="none" w:sz="0" w:space="0" w:color="auto"/>
          </w:divBdr>
        </w:div>
        <w:div w:id="778448767">
          <w:marLeft w:val="0"/>
          <w:marRight w:val="0"/>
          <w:marTop w:val="0"/>
          <w:marBottom w:val="0"/>
          <w:divBdr>
            <w:top w:val="none" w:sz="0" w:space="0" w:color="auto"/>
            <w:left w:val="none" w:sz="0" w:space="0" w:color="auto"/>
            <w:bottom w:val="none" w:sz="0" w:space="0" w:color="auto"/>
            <w:right w:val="none" w:sz="0" w:space="0" w:color="auto"/>
          </w:divBdr>
        </w:div>
        <w:div w:id="546137918">
          <w:marLeft w:val="0"/>
          <w:marRight w:val="0"/>
          <w:marTop w:val="0"/>
          <w:marBottom w:val="0"/>
          <w:divBdr>
            <w:top w:val="none" w:sz="0" w:space="0" w:color="auto"/>
            <w:left w:val="none" w:sz="0" w:space="0" w:color="auto"/>
            <w:bottom w:val="none" w:sz="0" w:space="0" w:color="auto"/>
            <w:right w:val="none" w:sz="0" w:space="0" w:color="auto"/>
          </w:divBdr>
        </w:div>
        <w:div w:id="1533498416">
          <w:marLeft w:val="0"/>
          <w:marRight w:val="0"/>
          <w:marTop w:val="0"/>
          <w:marBottom w:val="0"/>
          <w:divBdr>
            <w:top w:val="none" w:sz="0" w:space="0" w:color="auto"/>
            <w:left w:val="none" w:sz="0" w:space="0" w:color="auto"/>
            <w:bottom w:val="none" w:sz="0" w:space="0" w:color="auto"/>
            <w:right w:val="none" w:sz="0" w:space="0" w:color="auto"/>
          </w:divBdr>
        </w:div>
        <w:div w:id="1438521878">
          <w:marLeft w:val="0"/>
          <w:marRight w:val="0"/>
          <w:marTop w:val="0"/>
          <w:marBottom w:val="0"/>
          <w:divBdr>
            <w:top w:val="none" w:sz="0" w:space="0" w:color="auto"/>
            <w:left w:val="none" w:sz="0" w:space="0" w:color="auto"/>
            <w:bottom w:val="none" w:sz="0" w:space="0" w:color="auto"/>
            <w:right w:val="none" w:sz="0" w:space="0" w:color="auto"/>
          </w:divBdr>
        </w:div>
        <w:div w:id="1403067911">
          <w:marLeft w:val="0"/>
          <w:marRight w:val="0"/>
          <w:marTop w:val="0"/>
          <w:marBottom w:val="0"/>
          <w:divBdr>
            <w:top w:val="none" w:sz="0" w:space="0" w:color="auto"/>
            <w:left w:val="none" w:sz="0" w:space="0" w:color="auto"/>
            <w:bottom w:val="none" w:sz="0" w:space="0" w:color="auto"/>
            <w:right w:val="none" w:sz="0" w:space="0" w:color="auto"/>
          </w:divBdr>
        </w:div>
        <w:div w:id="1919240810">
          <w:marLeft w:val="0"/>
          <w:marRight w:val="0"/>
          <w:marTop w:val="0"/>
          <w:marBottom w:val="0"/>
          <w:divBdr>
            <w:top w:val="none" w:sz="0" w:space="0" w:color="auto"/>
            <w:left w:val="none" w:sz="0" w:space="0" w:color="auto"/>
            <w:bottom w:val="none" w:sz="0" w:space="0" w:color="auto"/>
            <w:right w:val="none" w:sz="0" w:space="0" w:color="auto"/>
          </w:divBdr>
        </w:div>
        <w:div w:id="1624581280">
          <w:marLeft w:val="0"/>
          <w:marRight w:val="0"/>
          <w:marTop w:val="0"/>
          <w:marBottom w:val="0"/>
          <w:divBdr>
            <w:top w:val="none" w:sz="0" w:space="0" w:color="auto"/>
            <w:left w:val="none" w:sz="0" w:space="0" w:color="auto"/>
            <w:bottom w:val="none" w:sz="0" w:space="0" w:color="auto"/>
            <w:right w:val="none" w:sz="0" w:space="0" w:color="auto"/>
          </w:divBdr>
        </w:div>
        <w:div w:id="459231048">
          <w:marLeft w:val="0"/>
          <w:marRight w:val="0"/>
          <w:marTop w:val="0"/>
          <w:marBottom w:val="0"/>
          <w:divBdr>
            <w:top w:val="none" w:sz="0" w:space="0" w:color="auto"/>
            <w:left w:val="none" w:sz="0" w:space="0" w:color="auto"/>
            <w:bottom w:val="none" w:sz="0" w:space="0" w:color="auto"/>
            <w:right w:val="none" w:sz="0" w:space="0" w:color="auto"/>
          </w:divBdr>
        </w:div>
        <w:div w:id="212036918">
          <w:marLeft w:val="0"/>
          <w:marRight w:val="0"/>
          <w:marTop w:val="0"/>
          <w:marBottom w:val="0"/>
          <w:divBdr>
            <w:top w:val="none" w:sz="0" w:space="0" w:color="auto"/>
            <w:left w:val="none" w:sz="0" w:space="0" w:color="auto"/>
            <w:bottom w:val="none" w:sz="0" w:space="0" w:color="auto"/>
            <w:right w:val="none" w:sz="0" w:space="0" w:color="auto"/>
          </w:divBdr>
        </w:div>
        <w:div w:id="1661040649">
          <w:marLeft w:val="0"/>
          <w:marRight w:val="0"/>
          <w:marTop w:val="0"/>
          <w:marBottom w:val="0"/>
          <w:divBdr>
            <w:top w:val="none" w:sz="0" w:space="0" w:color="auto"/>
            <w:left w:val="none" w:sz="0" w:space="0" w:color="auto"/>
            <w:bottom w:val="none" w:sz="0" w:space="0" w:color="auto"/>
            <w:right w:val="none" w:sz="0" w:space="0" w:color="auto"/>
          </w:divBdr>
        </w:div>
        <w:div w:id="467167802">
          <w:marLeft w:val="0"/>
          <w:marRight w:val="0"/>
          <w:marTop w:val="0"/>
          <w:marBottom w:val="0"/>
          <w:divBdr>
            <w:top w:val="none" w:sz="0" w:space="0" w:color="auto"/>
            <w:left w:val="none" w:sz="0" w:space="0" w:color="auto"/>
            <w:bottom w:val="none" w:sz="0" w:space="0" w:color="auto"/>
            <w:right w:val="none" w:sz="0" w:space="0" w:color="auto"/>
          </w:divBdr>
        </w:div>
        <w:div w:id="1224370452">
          <w:marLeft w:val="0"/>
          <w:marRight w:val="0"/>
          <w:marTop w:val="0"/>
          <w:marBottom w:val="0"/>
          <w:divBdr>
            <w:top w:val="none" w:sz="0" w:space="0" w:color="auto"/>
            <w:left w:val="none" w:sz="0" w:space="0" w:color="auto"/>
            <w:bottom w:val="none" w:sz="0" w:space="0" w:color="auto"/>
            <w:right w:val="none" w:sz="0" w:space="0" w:color="auto"/>
          </w:divBdr>
        </w:div>
        <w:div w:id="1222985033">
          <w:marLeft w:val="0"/>
          <w:marRight w:val="0"/>
          <w:marTop w:val="0"/>
          <w:marBottom w:val="0"/>
          <w:divBdr>
            <w:top w:val="none" w:sz="0" w:space="0" w:color="auto"/>
            <w:left w:val="none" w:sz="0" w:space="0" w:color="auto"/>
            <w:bottom w:val="none" w:sz="0" w:space="0" w:color="auto"/>
            <w:right w:val="none" w:sz="0" w:space="0" w:color="auto"/>
          </w:divBdr>
        </w:div>
        <w:div w:id="248200664">
          <w:marLeft w:val="0"/>
          <w:marRight w:val="0"/>
          <w:marTop w:val="0"/>
          <w:marBottom w:val="0"/>
          <w:divBdr>
            <w:top w:val="none" w:sz="0" w:space="0" w:color="auto"/>
            <w:left w:val="none" w:sz="0" w:space="0" w:color="auto"/>
            <w:bottom w:val="none" w:sz="0" w:space="0" w:color="auto"/>
            <w:right w:val="none" w:sz="0" w:space="0" w:color="auto"/>
          </w:divBdr>
        </w:div>
        <w:div w:id="473982698">
          <w:marLeft w:val="0"/>
          <w:marRight w:val="0"/>
          <w:marTop w:val="0"/>
          <w:marBottom w:val="0"/>
          <w:divBdr>
            <w:top w:val="none" w:sz="0" w:space="0" w:color="auto"/>
            <w:left w:val="none" w:sz="0" w:space="0" w:color="auto"/>
            <w:bottom w:val="none" w:sz="0" w:space="0" w:color="auto"/>
            <w:right w:val="none" w:sz="0" w:space="0" w:color="auto"/>
          </w:divBdr>
        </w:div>
        <w:div w:id="1181745449">
          <w:marLeft w:val="0"/>
          <w:marRight w:val="0"/>
          <w:marTop w:val="0"/>
          <w:marBottom w:val="0"/>
          <w:divBdr>
            <w:top w:val="none" w:sz="0" w:space="0" w:color="auto"/>
            <w:left w:val="none" w:sz="0" w:space="0" w:color="auto"/>
            <w:bottom w:val="none" w:sz="0" w:space="0" w:color="auto"/>
            <w:right w:val="none" w:sz="0" w:space="0" w:color="auto"/>
          </w:divBdr>
        </w:div>
        <w:div w:id="115685337">
          <w:marLeft w:val="0"/>
          <w:marRight w:val="0"/>
          <w:marTop w:val="0"/>
          <w:marBottom w:val="0"/>
          <w:divBdr>
            <w:top w:val="none" w:sz="0" w:space="0" w:color="auto"/>
            <w:left w:val="none" w:sz="0" w:space="0" w:color="auto"/>
            <w:bottom w:val="none" w:sz="0" w:space="0" w:color="auto"/>
            <w:right w:val="none" w:sz="0" w:space="0" w:color="auto"/>
          </w:divBdr>
        </w:div>
        <w:div w:id="386269974">
          <w:marLeft w:val="0"/>
          <w:marRight w:val="0"/>
          <w:marTop w:val="0"/>
          <w:marBottom w:val="0"/>
          <w:divBdr>
            <w:top w:val="none" w:sz="0" w:space="0" w:color="auto"/>
            <w:left w:val="none" w:sz="0" w:space="0" w:color="auto"/>
            <w:bottom w:val="none" w:sz="0" w:space="0" w:color="auto"/>
            <w:right w:val="none" w:sz="0" w:space="0" w:color="auto"/>
          </w:divBdr>
        </w:div>
        <w:div w:id="1847792141">
          <w:marLeft w:val="0"/>
          <w:marRight w:val="0"/>
          <w:marTop w:val="0"/>
          <w:marBottom w:val="0"/>
          <w:divBdr>
            <w:top w:val="none" w:sz="0" w:space="0" w:color="auto"/>
            <w:left w:val="none" w:sz="0" w:space="0" w:color="auto"/>
            <w:bottom w:val="none" w:sz="0" w:space="0" w:color="auto"/>
            <w:right w:val="none" w:sz="0" w:space="0" w:color="auto"/>
          </w:divBdr>
        </w:div>
      </w:divsChild>
    </w:div>
    <w:div w:id="590897393">
      <w:bodyDiv w:val="1"/>
      <w:marLeft w:val="0"/>
      <w:marRight w:val="0"/>
      <w:marTop w:val="0"/>
      <w:marBottom w:val="0"/>
      <w:divBdr>
        <w:top w:val="none" w:sz="0" w:space="0" w:color="auto"/>
        <w:left w:val="none" w:sz="0" w:space="0" w:color="auto"/>
        <w:bottom w:val="none" w:sz="0" w:space="0" w:color="auto"/>
        <w:right w:val="none" w:sz="0" w:space="0" w:color="auto"/>
      </w:divBdr>
      <w:divsChild>
        <w:div w:id="162287423">
          <w:marLeft w:val="0"/>
          <w:marRight w:val="0"/>
          <w:marTop w:val="0"/>
          <w:marBottom w:val="0"/>
          <w:divBdr>
            <w:top w:val="none" w:sz="0" w:space="0" w:color="auto"/>
            <w:left w:val="none" w:sz="0" w:space="0" w:color="auto"/>
            <w:bottom w:val="none" w:sz="0" w:space="0" w:color="auto"/>
            <w:right w:val="none" w:sz="0" w:space="0" w:color="auto"/>
          </w:divBdr>
        </w:div>
        <w:div w:id="814687876">
          <w:marLeft w:val="0"/>
          <w:marRight w:val="0"/>
          <w:marTop w:val="0"/>
          <w:marBottom w:val="0"/>
          <w:divBdr>
            <w:top w:val="none" w:sz="0" w:space="0" w:color="auto"/>
            <w:left w:val="none" w:sz="0" w:space="0" w:color="auto"/>
            <w:bottom w:val="none" w:sz="0" w:space="0" w:color="auto"/>
            <w:right w:val="none" w:sz="0" w:space="0" w:color="auto"/>
          </w:divBdr>
        </w:div>
        <w:div w:id="711998764">
          <w:marLeft w:val="0"/>
          <w:marRight w:val="0"/>
          <w:marTop w:val="0"/>
          <w:marBottom w:val="0"/>
          <w:divBdr>
            <w:top w:val="none" w:sz="0" w:space="0" w:color="auto"/>
            <w:left w:val="none" w:sz="0" w:space="0" w:color="auto"/>
            <w:bottom w:val="none" w:sz="0" w:space="0" w:color="auto"/>
            <w:right w:val="none" w:sz="0" w:space="0" w:color="auto"/>
          </w:divBdr>
        </w:div>
        <w:div w:id="1274897444">
          <w:marLeft w:val="0"/>
          <w:marRight w:val="0"/>
          <w:marTop w:val="0"/>
          <w:marBottom w:val="0"/>
          <w:divBdr>
            <w:top w:val="none" w:sz="0" w:space="0" w:color="auto"/>
            <w:left w:val="none" w:sz="0" w:space="0" w:color="auto"/>
            <w:bottom w:val="none" w:sz="0" w:space="0" w:color="auto"/>
            <w:right w:val="none" w:sz="0" w:space="0" w:color="auto"/>
          </w:divBdr>
        </w:div>
        <w:div w:id="1365599170">
          <w:marLeft w:val="0"/>
          <w:marRight w:val="0"/>
          <w:marTop w:val="0"/>
          <w:marBottom w:val="0"/>
          <w:divBdr>
            <w:top w:val="none" w:sz="0" w:space="0" w:color="auto"/>
            <w:left w:val="none" w:sz="0" w:space="0" w:color="auto"/>
            <w:bottom w:val="none" w:sz="0" w:space="0" w:color="auto"/>
            <w:right w:val="none" w:sz="0" w:space="0" w:color="auto"/>
          </w:divBdr>
        </w:div>
        <w:div w:id="850528422">
          <w:marLeft w:val="0"/>
          <w:marRight w:val="0"/>
          <w:marTop w:val="0"/>
          <w:marBottom w:val="0"/>
          <w:divBdr>
            <w:top w:val="none" w:sz="0" w:space="0" w:color="auto"/>
            <w:left w:val="none" w:sz="0" w:space="0" w:color="auto"/>
            <w:bottom w:val="none" w:sz="0" w:space="0" w:color="auto"/>
            <w:right w:val="none" w:sz="0" w:space="0" w:color="auto"/>
          </w:divBdr>
        </w:div>
        <w:div w:id="1197743598">
          <w:marLeft w:val="0"/>
          <w:marRight w:val="0"/>
          <w:marTop w:val="0"/>
          <w:marBottom w:val="0"/>
          <w:divBdr>
            <w:top w:val="none" w:sz="0" w:space="0" w:color="auto"/>
            <w:left w:val="none" w:sz="0" w:space="0" w:color="auto"/>
            <w:bottom w:val="none" w:sz="0" w:space="0" w:color="auto"/>
            <w:right w:val="none" w:sz="0" w:space="0" w:color="auto"/>
          </w:divBdr>
        </w:div>
        <w:div w:id="1290890484">
          <w:marLeft w:val="0"/>
          <w:marRight w:val="0"/>
          <w:marTop w:val="0"/>
          <w:marBottom w:val="0"/>
          <w:divBdr>
            <w:top w:val="none" w:sz="0" w:space="0" w:color="auto"/>
            <w:left w:val="none" w:sz="0" w:space="0" w:color="auto"/>
            <w:bottom w:val="none" w:sz="0" w:space="0" w:color="auto"/>
            <w:right w:val="none" w:sz="0" w:space="0" w:color="auto"/>
          </w:divBdr>
        </w:div>
        <w:div w:id="69894089">
          <w:marLeft w:val="0"/>
          <w:marRight w:val="0"/>
          <w:marTop w:val="0"/>
          <w:marBottom w:val="0"/>
          <w:divBdr>
            <w:top w:val="none" w:sz="0" w:space="0" w:color="auto"/>
            <w:left w:val="none" w:sz="0" w:space="0" w:color="auto"/>
            <w:bottom w:val="none" w:sz="0" w:space="0" w:color="auto"/>
            <w:right w:val="none" w:sz="0" w:space="0" w:color="auto"/>
          </w:divBdr>
        </w:div>
        <w:div w:id="1736775825">
          <w:marLeft w:val="0"/>
          <w:marRight w:val="0"/>
          <w:marTop w:val="0"/>
          <w:marBottom w:val="0"/>
          <w:divBdr>
            <w:top w:val="none" w:sz="0" w:space="0" w:color="auto"/>
            <w:left w:val="none" w:sz="0" w:space="0" w:color="auto"/>
            <w:bottom w:val="none" w:sz="0" w:space="0" w:color="auto"/>
            <w:right w:val="none" w:sz="0" w:space="0" w:color="auto"/>
          </w:divBdr>
        </w:div>
        <w:div w:id="2102556213">
          <w:marLeft w:val="0"/>
          <w:marRight w:val="0"/>
          <w:marTop w:val="0"/>
          <w:marBottom w:val="0"/>
          <w:divBdr>
            <w:top w:val="none" w:sz="0" w:space="0" w:color="auto"/>
            <w:left w:val="none" w:sz="0" w:space="0" w:color="auto"/>
            <w:bottom w:val="none" w:sz="0" w:space="0" w:color="auto"/>
            <w:right w:val="none" w:sz="0" w:space="0" w:color="auto"/>
          </w:divBdr>
        </w:div>
        <w:div w:id="1849130762">
          <w:marLeft w:val="0"/>
          <w:marRight w:val="0"/>
          <w:marTop w:val="0"/>
          <w:marBottom w:val="0"/>
          <w:divBdr>
            <w:top w:val="none" w:sz="0" w:space="0" w:color="auto"/>
            <w:left w:val="none" w:sz="0" w:space="0" w:color="auto"/>
            <w:bottom w:val="none" w:sz="0" w:space="0" w:color="auto"/>
            <w:right w:val="none" w:sz="0" w:space="0" w:color="auto"/>
          </w:divBdr>
        </w:div>
        <w:div w:id="1344942524">
          <w:marLeft w:val="0"/>
          <w:marRight w:val="0"/>
          <w:marTop w:val="0"/>
          <w:marBottom w:val="0"/>
          <w:divBdr>
            <w:top w:val="none" w:sz="0" w:space="0" w:color="auto"/>
            <w:left w:val="none" w:sz="0" w:space="0" w:color="auto"/>
            <w:bottom w:val="none" w:sz="0" w:space="0" w:color="auto"/>
            <w:right w:val="none" w:sz="0" w:space="0" w:color="auto"/>
          </w:divBdr>
        </w:div>
        <w:div w:id="345056438">
          <w:marLeft w:val="0"/>
          <w:marRight w:val="0"/>
          <w:marTop w:val="0"/>
          <w:marBottom w:val="0"/>
          <w:divBdr>
            <w:top w:val="none" w:sz="0" w:space="0" w:color="auto"/>
            <w:left w:val="none" w:sz="0" w:space="0" w:color="auto"/>
            <w:bottom w:val="none" w:sz="0" w:space="0" w:color="auto"/>
            <w:right w:val="none" w:sz="0" w:space="0" w:color="auto"/>
          </w:divBdr>
        </w:div>
        <w:div w:id="1539661778">
          <w:marLeft w:val="0"/>
          <w:marRight w:val="0"/>
          <w:marTop w:val="0"/>
          <w:marBottom w:val="0"/>
          <w:divBdr>
            <w:top w:val="none" w:sz="0" w:space="0" w:color="auto"/>
            <w:left w:val="none" w:sz="0" w:space="0" w:color="auto"/>
            <w:bottom w:val="none" w:sz="0" w:space="0" w:color="auto"/>
            <w:right w:val="none" w:sz="0" w:space="0" w:color="auto"/>
          </w:divBdr>
        </w:div>
        <w:div w:id="690569497">
          <w:marLeft w:val="0"/>
          <w:marRight w:val="0"/>
          <w:marTop w:val="0"/>
          <w:marBottom w:val="0"/>
          <w:divBdr>
            <w:top w:val="none" w:sz="0" w:space="0" w:color="auto"/>
            <w:left w:val="none" w:sz="0" w:space="0" w:color="auto"/>
            <w:bottom w:val="none" w:sz="0" w:space="0" w:color="auto"/>
            <w:right w:val="none" w:sz="0" w:space="0" w:color="auto"/>
          </w:divBdr>
        </w:div>
        <w:div w:id="1918780567">
          <w:marLeft w:val="0"/>
          <w:marRight w:val="0"/>
          <w:marTop w:val="0"/>
          <w:marBottom w:val="0"/>
          <w:divBdr>
            <w:top w:val="none" w:sz="0" w:space="0" w:color="auto"/>
            <w:left w:val="none" w:sz="0" w:space="0" w:color="auto"/>
            <w:bottom w:val="none" w:sz="0" w:space="0" w:color="auto"/>
            <w:right w:val="none" w:sz="0" w:space="0" w:color="auto"/>
          </w:divBdr>
        </w:div>
        <w:div w:id="1613585628">
          <w:marLeft w:val="0"/>
          <w:marRight w:val="0"/>
          <w:marTop w:val="0"/>
          <w:marBottom w:val="0"/>
          <w:divBdr>
            <w:top w:val="none" w:sz="0" w:space="0" w:color="auto"/>
            <w:left w:val="none" w:sz="0" w:space="0" w:color="auto"/>
            <w:bottom w:val="none" w:sz="0" w:space="0" w:color="auto"/>
            <w:right w:val="none" w:sz="0" w:space="0" w:color="auto"/>
          </w:divBdr>
        </w:div>
        <w:div w:id="208346755">
          <w:marLeft w:val="0"/>
          <w:marRight w:val="0"/>
          <w:marTop w:val="0"/>
          <w:marBottom w:val="0"/>
          <w:divBdr>
            <w:top w:val="none" w:sz="0" w:space="0" w:color="auto"/>
            <w:left w:val="none" w:sz="0" w:space="0" w:color="auto"/>
            <w:bottom w:val="none" w:sz="0" w:space="0" w:color="auto"/>
            <w:right w:val="none" w:sz="0" w:space="0" w:color="auto"/>
          </w:divBdr>
        </w:div>
        <w:div w:id="491528923">
          <w:marLeft w:val="0"/>
          <w:marRight w:val="0"/>
          <w:marTop w:val="0"/>
          <w:marBottom w:val="0"/>
          <w:divBdr>
            <w:top w:val="none" w:sz="0" w:space="0" w:color="auto"/>
            <w:left w:val="none" w:sz="0" w:space="0" w:color="auto"/>
            <w:bottom w:val="none" w:sz="0" w:space="0" w:color="auto"/>
            <w:right w:val="none" w:sz="0" w:space="0" w:color="auto"/>
          </w:divBdr>
        </w:div>
        <w:div w:id="1056441050">
          <w:marLeft w:val="0"/>
          <w:marRight w:val="0"/>
          <w:marTop w:val="0"/>
          <w:marBottom w:val="0"/>
          <w:divBdr>
            <w:top w:val="none" w:sz="0" w:space="0" w:color="auto"/>
            <w:left w:val="none" w:sz="0" w:space="0" w:color="auto"/>
            <w:bottom w:val="none" w:sz="0" w:space="0" w:color="auto"/>
            <w:right w:val="none" w:sz="0" w:space="0" w:color="auto"/>
          </w:divBdr>
        </w:div>
        <w:div w:id="1606767797">
          <w:marLeft w:val="0"/>
          <w:marRight w:val="0"/>
          <w:marTop w:val="0"/>
          <w:marBottom w:val="0"/>
          <w:divBdr>
            <w:top w:val="none" w:sz="0" w:space="0" w:color="auto"/>
            <w:left w:val="none" w:sz="0" w:space="0" w:color="auto"/>
            <w:bottom w:val="none" w:sz="0" w:space="0" w:color="auto"/>
            <w:right w:val="none" w:sz="0" w:space="0" w:color="auto"/>
          </w:divBdr>
        </w:div>
        <w:div w:id="1104693914">
          <w:marLeft w:val="0"/>
          <w:marRight w:val="0"/>
          <w:marTop w:val="0"/>
          <w:marBottom w:val="0"/>
          <w:divBdr>
            <w:top w:val="none" w:sz="0" w:space="0" w:color="auto"/>
            <w:left w:val="none" w:sz="0" w:space="0" w:color="auto"/>
            <w:bottom w:val="none" w:sz="0" w:space="0" w:color="auto"/>
            <w:right w:val="none" w:sz="0" w:space="0" w:color="auto"/>
          </w:divBdr>
        </w:div>
        <w:div w:id="652106518">
          <w:marLeft w:val="0"/>
          <w:marRight w:val="0"/>
          <w:marTop w:val="0"/>
          <w:marBottom w:val="0"/>
          <w:divBdr>
            <w:top w:val="none" w:sz="0" w:space="0" w:color="auto"/>
            <w:left w:val="none" w:sz="0" w:space="0" w:color="auto"/>
            <w:bottom w:val="none" w:sz="0" w:space="0" w:color="auto"/>
            <w:right w:val="none" w:sz="0" w:space="0" w:color="auto"/>
          </w:divBdr>
        </w:div>
        <w:div w:id="217859033">
          <w:marLeft w:val="0"/>
          <w:marRight w:val="0"/>
          <w:marTop w:val="0"/>
          <w:marBottom w:val="0"/>
          <w:divBdr>
            <w:top w:val="none" w:sz="0" w:space="0" w:color="auto"/>
            <w:left w:val="none" w:sz="0" w:space="0" w:color="auto"/>
            <w:bottom w:val="none" w:sz="0" w:space="0" w:color="auto"/>
            <w:right w:val="none" w:sz="0" w:space="0" w:color="auto"/>
          </w:divBdr>
        </w:div>
        <w:div w:id="2027437157">
          <w:marLeft w:val="0"/>
          <w:marRight w:val="0"/>
          <w:marTop w:val="0"/>
          <w:marBottom w:val="0"/>
          <w:divBdr>
            <w:top w:val="none" w:sz="0" w:space="0" w:color="auto"/>
            <w:left w:val="none" w:sz="0" w:space="0" w:color="auto"/>
            <w:bottom w:val="none" w:sz="0" w:space="0" w:color="auto"/>
            <w:right w:val="none" w:sz="0" w:space="0" w:color="auto"/>
          </w:divBdr>
        </w:div>
        <w:div w:id="2059428672">
          <w:marLeft w:val="0"/>
          <w:marRight w:val="0"/>
          <w:marTop w:val="0"/>
          <w:marBottom w:val="0"/>
          <w:divBdr>
            <w:top w:val="none" w:sz="0" w:space="0" w:color="auto"/>
            <w:left w:val="none" w:sz="0" w:space="0" w:color="auto"/>
            <w:bottom w:val="none" w:sz="0" w:space="0" w:color="auto"/>
            <w:right w:val="none" w:sz="0" w:space="0" w:color="auto"/>
          </w:divBdr>
        </w:div>
        <w:div w:id="566190089">
          <w:marLeft w:val="0"/>
          <w:marRight w:val="0"/>
          <w:marTop w:val="0"/>
          <w:marBottom w:val="0"/>
          <w:divBdr>
            <w:top w:val="none" w:sz="0" w:space="0" w:color="auto"/>
            <w:left w:val="none" w:sz="0" w:space="0" w:color="auto"/>
            <w:bottom w:val="none" w:sz="0" w:space="0" w:color="auto"/>
            <w:right w:val="none" w:sz="0" w:space="0" w:color="auto"/>
          </w:divBdr>
        </w:div>
        <w:div w:id="1647121362">
          <w:marLeft w:val="0"/>
          <w:marRight w:val="0"/>
          <w:marTop w:val="0"/>
          <w:marBottom w:val="0"/>
          <w:divBdr>
            <w:top w:val="none" w:sz="0" w:space="0" w:color="auto"/>
            <w:left w:val="none" w:sz="0" w:space="0" w:color="auto"/>
            <w:bottom w:val="none" w:sz="0" w:space="0" w:color="auto"/>
            <w:right w:val="none" w:sz="0" w:space="0" w:color="auto"/>
          </w:divBdr>
        </w:div>
        <w:div w:id="1601253642">
          <w:marLeft w:val="0"/>
          <w:marRight w:val="0"/>
          <w:marTop w:val="0"/>
          <w:marBottom w:val="0"/>
          <w:divBdr>
            <w:top w:val="none" w:sz="0" w:space="0" w:color="auto"/>
            <w:left w:val="none" w:sz="0" w:space="0" w:color="auto"/>
            <w:bottom w:val="none" w:sz="0" w:space="0" w:color="auto"/>
            <w:right w:val="none" w:sz="0" w:space="0" w:color="auto"/>
          </w:divBdr>
        </w:div>
        <w:div w:id="1867987523">
          <w:marLeft w:val="0"/>
          <w:marRight w:val="0"/>
          <w:marTop w:val="0"/>
          <w:marBottom w:val="0"/>
          <w:divBdr>
            <w:top w:val="none" w:sz="0" w:space="0" w:color="auto"/>
            <w:left w:val="none" w:sz="0" w:space="0" w:color="auto"/>
            <w:bottom w:val="none" w:sz="0" w:space="0" w:color="auto"/>
            <w:right w:val="none" w:sz="0" w:space="0" w:color="auto"/>
          </w:divBdr>
        </w:div>
        <w:div w:id="1196581546">
          <w:marLeft w:val="0"/>
          <w:marRight w:val="0"/>
          <w:marTop w:val="0"/>
          <w:marBottom w:val="0"/>
          <w:divBdr>
            <w:top w:val="none" w:sz="0" w:space="0" w:color="auto"/>
            <w:left w:val="none" w:sz="0" w:space="0" w:color="auto"/>
            <w:bottom w:val="none" w:sz="0" w:space="0" w:color="auto"/>
            <w:right w:val="none" w:sz="0" w:space="0" w:color="auto"/>
          </w:divBdr>
        </w:div>
        <w:div w:id="925184585">
          <w:marLeft w:val="0"/>
          <w:marRight w:val="0"/>
          <w:marTop w:val="0"/>
          <w:marBottom w:val="0"/>
          <w:divBdr>
            <w:top w:val="none" w:sz="0" w:space="0" w:color="auto"/>
            <w:left w:val="none" w:sz="0" w:space="0" w:color="auto"/>
            <w:bottom w:val="none" w:sz="0" w:space="0" w:color="auto"/>
            <w:right w:val="none" w:sz="0" w:space="0" w:color="auto"/>
          </w:divBdr>
        </w:div>
        <w:div w:id="791480341">
          <w:marLeft w:val="0"/>
          <w:marRight w:val="0"/>
          <w:marTop w:val="0"/>
          <w:marBottom w:val="0"/>
          <w:divBdr>
            <w:top w:val="none" w:sz="0" w:space="0" w:color="auto"/>
            <w:left w:val="none" w:sz="0" w:space="0" w:color="auto"/>
            <w:bottom w:val="none" w:sz="0" w:space="0" w:color="auto"/>
            <w:right w:val="none" w:sz="0" w:space="0" w:color="auto"/>
          </w:divBdr>
        </w:div>
        <w:div w:id="567762981">
          <w:marLeft w:val="0"/>
          <w:marRight w:val="0"/>
          <w:marTop w:val="0"/>
          <w:marBottom w:val="0"/>
          <w:divBdr>
            <w:top w:val="none" w:sz="0" w:space="0" w:color="auto"/>
            <w:left w:val="none" w:sz="0" w:space="0" w:color="auto"/>
            <w:bottom w:val="none" w:sz="0" w:space="0" w:color="auto"/>
            <w:right w:val="none" w:sz="0" w:space="0" w:color="auto"/>
          </w:divBdr>
        </w:div>
        <w:div w:id="19672058">
          <w:marLeft w:val="0"/>
          <w:marRight w:val="0"/>
          <w:marTop w:val="0"/>
          <w:marBottom w:val="0"/>
          <w:divBdr>
            <w:top w:val="none" w:sz="0" w:space="0" w:color="auto"/>
            <w:left w:val="none" w:sz="0" w:space="0" w:color="auto"/>
            <w:bottom w:val="none" w:sz="0" w:space="0" w:color="auto"/>
            <w:right w:val="none" w:sz="0" w:space="0" w:color="auto"/>
          </w:divBdr>
        </w:div>
        <w:div w:id="601963214">
          <w:marLeft w:val="0"/>
          <w:marRight w:val="0"/>
          <w:marTop w:val="0"/>
          <w:marBottom w:val="0"/>
          <w:divBdr>
            <w:top w:val="none" w:sz="0" w:space="0" w:color="auto"/>
            <w:left w:val="none" w:sz="0" w:space="0" w:color="auto"/>
            <w:bottom w:val="none" w:sz="0" w:space="0" w:color="auto"/>
            <w:right w:val="none" w:sz="0" w:space="0" w:color="auto"/>
          </w:divBdr>
        </w:div>
        <w:div w:id="433013763">
          <w:marLeft w:val="0"/>
          <w:marRight w:val="0"/>
          <w:marTop w:val="0"/>
          <w:marBottom w:val="0"/>
          <w:divBdr>
            <w:top w:val="none" w:sz="0" w:space="0" w:color="auto"/>
            <w:left w:val="none" w:sz="0" w:space="0" w:color="auto"/>
            <w:bottom w:val="none" w:sz="0" w:space="0" w:color="auto"/>
            <w:right w:val="none" w:sz="0" w:space="0" w:color="auto"/>
          </w:divBdr>
        </w:div>
        <w:div w:id="829098989">
          <w:marLeft w:val="0"/>
          <w:marRight w:val="0"/>
          <w:marTop w:val="0"/>
          <w:marBottom w:val="0"/>
          <w:divBdr>
            <w:top w:val="none" w:sz="0" w:space="0" w:color="auto"/>
            <w:left w:val="none" w:sz="0" w:space="0" w:color="auto"/>
            <w:bottom w:val="none" w:sz="0" w:space="0" w:color="auto"/>
            <w:right w:val="none" w:sz="0" w:space="0" w:color="auto"/>
          </w:divBdr>
        </w:div>
        <w:div w:id="109323267">
          <w:marLeft w:val="0"/>
          <w:marRight w:val="0"/>
          <w:marTop w:val="0"/>
          <w:marBottom w:val="0"/>
          <w:divBdr>
            <w:top w:val="none" w:sz="0" w:space="0" w:color="auto"/>
            <w:left w:val="none" w:sz="0" w:space="0" w:color="auto"/>
            <w:bottom w:val="none" w:sz="0" w:space="0" w:color="auto"/>
            <w:right w:val="none" w:sz="0" w:space="0" w:color="auto"/>
          </w:divBdr>
        </w:div>
        <w:div w:id="430782159">
          <w:marLeft w:val="0"/>
          <w:marRight w:val="0"/>
          <w:marTop w:val="0"/>
          <w:marBottom w:val="0"/>
          <w:divBdr>
            <w:top w:val="none" w:sz="0" w:space="0" w:color="auto"/>
            <w:left w:val="none" w:sz="0" w:space="0" w:color="auto"/>
            <w:bottom w:val="none" w:sz="0" w:space="0" w:color="auto"/>
            <w:right w:val="none" w:sz="0" w:space="0" w:color="auto"/>
          </w:divBdr>
        </w:div>
        <w:div w:id="1159538481">
          <w:marLeft w:val="0"/>
          <w:marRight w:val="0"/>
          <w:marTop w:val="0"/>
          <w:marBottom w:val="0"/>
          <w:divBdr>
            <w:top w:val="none" w:sz="0" w:space="0" w:color="auto"/>
            <w:left w:val="none" w:sz="0" w:space="0" w:color="auto"/>
            <w:bottom w:val="none" w:sz="0" w:space="0" w:color="auto"/>
            <w:right w:val="none" w:sz="0" w:space="0" w:color="auto"/>
          </w:divBdr>
        </w:div>
        <w:div w:id="328482184">
          <w:marLeft w:val="0"/>
          <w:marRight w:val="0"/>
          <w:marTop w:val="0"/>
          <w:marBottom w:val="0"/>
          <w:divBdr>
            <w:top w:val="none" w:sz="0" w:space="0" w:color="auto"/>
            <w:left w:val="none" w:sz="0" w:space="0" w:color="auto"/>
            <w:bottom w:val="none" w:sz="0" w:space="0" w:color="auto"/>
            <w:right w:val="none" w:sz="0" w:space="0" w:color="auto"/>
          </w:divBdr>
        </w:div>
        <w:div w:id="862323635">
          <w:marLeft w:val="0"/>
          <w:marRight w:val="0"/>
          <w:marTop w:val="0"/>
          <w:marBottom w:val="0"/>
          <w:divBdr>
            <w:top w:val="none" w:sz="0" w:space="0" w:color="auto"/>
            <w:left w:val="none" w:sz="0" w:space="0" w:color="auto"/>
            <w:bottom w:val="none" w:sz="0" w:space="0" w:color="auto"/>
            <w:right w:val="none" w:sz="0" w:space="0" w:color="auto"/>
          </w:divBdr>
        </w:div>
        <w:div w:id="1704329612">
          <w:marLeft w:val="0"/>
          <w:marRight w:val="0"/>
          <w:marTop w:val="0"/>
          <w:marBottom w:val="0"/>
          <w:divBdr>
            <w:top w:val="none" w:sz="0" w:space="0" w:color="auto"/>
            <w:left w:val="none" w:sz="0" w:space="0" w:color="auto"/>
            <w:bottom w:val="none" w:sz="0" w:space="0" w:color="auto"/>
            <w:right w:val="none" w:sz="0" w:space="0" w:color="auto"/>
          </w:divBdr>
        </w:div>
        <w:div w:id="1562599049">
          <w:marLeft w:val="0"/>
          <w:marRight w:val="0"/>
          <w:marTop w:val="0"/>
          <w:marBottom w:val="0"/>
          <w:divBdr>
            <w:top w:val="none" w:sz="0" w:space="0" w:color="auto"/>
            <w:left w:val="none" w:sz="0" w:space="0" w:color="auto"/>
            <w:bottom w:val="none" w:sz="0" w:space="0" w:color="auto"/>
            <w:right w:val="none" w:sz="0" w:space="0" w:color="auto"/>
          </w:divBdr>
        </w:div>
        <w:div w:id="1139111194">
          <w:marLeft w:val="0"/>
          <w:marRight w:val="0"/>
          <w:marTop w:val="0"/>
          <w:marBottom w:val="0"/>
          <w:divBdr>
            <w:top w:val="none" w:sz="0" w:space="0" w:color="auto"/>
            <w:left w:val="none" w:sz="0" w:space="0" w:color="auto"/>
            <w:bottom w:val="none" w:sz="0" w:space="0" w:color="auto"/>
            <w:right w:val="none" w:sz="0" w:space="0" w:color="auto"/>
          </w:divBdr>
        </w:div>
        <w:div w:id="491486815">
          <w:marLeft w:val="0"/>
          <w:marRight w:val="0"/>
          <w:marTop w:val="0"/>
          <w:marBottom w:val="0"/>
          <w:divBdr>
            <w:top w:val="none" w:sz="0" w:space="0" w:color="auto"/>
            <w:left w:val="none" w:sz="0" w:space="0" w:color="auto"/>
            <w:bottom w:val="none" w:sz="0" w:space="0" w:color="auto"/>
            <w:right w:val="none" w:sz="0" w:space="0" w:color="auto"/>
          </w:divBdr>
        </w:div>
        <w:div w:id="977076419">
          <w:marLeft w:val="0"/>
          <w:marRight w:val="0"/>
          <w:marTop w:val="0"/>
          <w:marBottom w:val="0"/>
          <w:divBdr>
            <w:top w:val="none" w:sz="0" w:space="0" w:color="auto"/>
            <w:left w:val="none" w:sz="0" w:space="0" w:color="auto"/>
            <w:bottom w:val="none" w:sz="0" w:space="0" w:color="auto"/>
            <w:right w:val="none" w:sz="0" w:space="0" w:color="auto"/>
          </w:divBdr>
        </w:div>
        <w:div w:id="807357041">
          <w:marLeft w:val="0"/>
          <w:marRight w:val="0"/>
          <w:marTop w:val="0"/>
          <w:marBottom w:val="0"/>
          <w:divBdr>
            <w:top w:val="none" w:sz="0" w:space="0" w:color="auto"/>
            <w:left w:val="none" w:sz="0" w:space="0" w:color="auto"/>
            <w:bottom w:val="none" w:sz="0" w:space="0" w:color="auto"/>
            <w:right w:val="none" w:sz="0" w:space="0" w:color="auto"/>
          </w:divBdr>
        </w:div>
        <w:div w:id="1814519328">
          <w:marLeft w:val="0"/>
          <w:marRight w:val="0"/>
          <w:marTop w:val="0"/>
          <w:marBottom w:val="0"/>
          <w:divBdr>
            <w:top w:val="none" w:sz="0" w:space="0" w:color="auto"/>
            <w:left w:val="none" w:sz="0" w:space="0" w:color="auto"/>
            <w:bottom w:val="none" w:sz="0" w:space="0" w:color="auto"/>
            <w:right w:val="none" w:sz="0" w:space="0" w:color="auto"/>
          </w:divBdr>
        </w:div>
        <w:div w:id="53044955">
          <w:marLeft w:val="0"/>
          <w:marRight w:val="0"/>
          <w:marTop w:val="0"/>
          <w:marBottom w:val="0"/>
          <w:divBdr>
            <w:top w:val="none" w:sz="0" w:space="0" w:color="auto"/>
            <w:left w:val="none" w:sz="0" w:space="0" w:color="auto"/>
            <w:bottom w:val="none" w:sz="0" w:space="0" w:color="auto"/>
            <w:right w:val="none" w:sz="0" w:space="0" w:color="auto"/>
          </w:divBdr>
        </w:div>
        <w:div w:id="180898327">
          <w:marLeft w:val="0"/>
          <w:marRight w:val="0"/>
          <w:marTop w:val="0"/>
          <w:marBottom w:val="0"/>
          <w:divBdr>
            <w:top w:val="none" w:sz="0" w:space="0" w:color="auto"/>
            <w:left w:val="none" w:sz="0" w:space="0" w:color="auto"/>
            <w:bottom w:val="none" w:sz="0" w:space="0" w:color="auto"/>
            <w:right w:val="none" w:sz="0" w:space="0" w:color="auto"/>
          </w:divBdr>
        </w:div>
        <w:div w:id="1814371493">
          <w:marLeft w:val="0"/>
          <w:marRight w:val="0"/>
          <w:marTop w:val="0"/>
          <w:marBottom w:val="0"/>
          <w:divBdr>
            <w:top w:val="none" w:sz="0" w:space="0" w:color="auto"/>
            <w:left w:val="none" w:sz="0" w:space="0" w:color="auto"/>
            <w:bottom w:val="none" w:sz="0" w:space="0" w:color="auto"/>
            <w:right w:val="none" w:sz="0" w:space="0" w:color="auto"/>
          </w:divBdr>
        </w:div>
        <w:div w:id="2053116868">
          <w:marLeft w:val="0"/>
          <w:marRight w:val="0"/>
          <w:marTop w:val="0"/>
          <w:marBottom w:val="0"/>
          <w:divBdr>
            <w:top w:val="none" w:sz="0" w:space="0" w:color="auto"/>
            <w:left w:val="none" w:sz="0" w:space="0" w:color="auto"/>
            <w:bottom w:val="none" w:sz="0" w:space="0" w:color="auto"/>
            <w:right w:val="none" w:sz="0" w:space="0" w:color="auto"/>
          </w:divBdr>
        </w:div>
        <w:div w:id="1404327861">
          <w:marLeft w:val="0"/>
          <w:marRight w:val="0"/>
          <w:marTop w:val="0"/>
          <w:marBottom w:val="0"/>
          <w:divBdr>
            <w:top w:val="none" w:sz="0" w:space="0" w:color="auto"/>
            <w:left w:val="none" w:sz="0" w:space="0" w:color="auto"/>
            <w:bottom w:val="none" w:sz="0" w:space="0" w:color="auto"/>
            <w:right w:val="none" w:sz="0" w:space="0" w:color="auto"/>
          </w:divBdr>
        </w:div>
        <w:div w:id="1323004542">
          <w:marLeft w:val="0"/>
          <w:marRight w:val="0"/>
          <w:marTop w:val="0"/>
          <w:marBottom w:val="0"/>
          <w:divBdr>
            <w:top w:val="none" w:sz="0" w:space="0" w:color="auto"/>
            <w:left w:val="none" w:sz="0" w:space="0" w:color="auto"/>
            <w:bottom w:val="none" w:sz="0" w:space="0" w:color="auto"/>
            <w:right w:val="none" w:sz="0" w:space="0" w:color="auto"/>
          </w:divBdr>
        </w:div>
        <w:div w:id="62992097">
          <w:marLeft w:val="0"/>
          <w:marRight w:val="0"/>
          <w:marTop w:val="0"/>
          <w:marBottom w:val="0"/>
          <w:divBdr>
            <w:top w:val="none" w:sz="0" w:space="0" w:color="auto"/>
            <w:left w:val="none" w:sz="0" w:space="0" w:color="auto"/>
            <w:bottom w:val="none" w:sz="0" w:space="0" w:color="auto"/>
            <w:right w:val="none" w:sz="0" w:space="0" w:color="auto"/>
          </w:divBdr>
        </w:div>
        <w:div w:id="2063095905">
          <w:marLeft w:val="0"/>
          <w:marRight w:val="0"/>
          <w:marTop w:val="0"/>
          <w:marBottom w:val="0"/>
          <w:divBdr>
            <w:top w:val="none" w:sz="0" w:space="0" w:color="auto"/>
            <w:left w:val="none" w:sz="0" w:space="0" w:color="auto"/>
            <w:bottom w:val="none" w:sz="0" w:space="0" w:color="auto"/>
            <w:right w:val="none" w:sz="0" w:space="0" w:color="auto"/>
          </w:divBdr>
        </w:div>
        <w:div w:id="393741113">
          <w:marLeft w:val="0"/>
          <w:marRight w:val="0"/>
          <w:marTop w:val="0"/>
          <w:marBottom w:val="0"/>
          <w:divBdr>
            <w:top w:val="none" w:sz="0" w:space="0" w:color="auto"/>
            <w:left w:val="none" w:sz="0" w:space="0" w:color="auto"/>
            <w:bottom w:val="none" w:sz="0" w:space="0" w:color="auto"/>
            <w:right w:val="none" w:sz="0" w:space="0" w:color="auto"/>
          </w:divBdr>
        </w:div>
        <w:div w:id="987318452">
          <w:marLeft w:val="0"/>
          <w:marRight w:val="0"/>
          <w:marTop w:val="0"/>
          <w:marBottom w:val="0"/>
          <w:divBdr>
            <w:top w:val="none" w:sz="0" w:space="0" w:color="auto"/>
            <w:left w:val="none" w:sz="0" w:space="0" w:color="auto"/>
            <w:bottom w:val="none" w:sz="0" w:space="0" w:color="auto"/>
            <w:right w:val="none" w:sz="0" w:space="0" w:color="auto"/>
          </w:divBdr>
        </w:div>
        <w:div w:id="755247756">
          <w:marLeft w:val="0"/>
          <w:marRight w:val="0"/>
          <w:marTop w:val="0"/>
          <w:marBottom w:val="0"/>
          <w:divBdr>
            <w:top w:val="none" w:sz="0" w:space="0" w:color="auto"/>
            <w:left w:val="none" w:sz="0" w:space="0" w:color="auto"/>
            <w:bottom w:val="none" w:sz="0" w:space="0" w:color="auto"/>
            <w:right w:val="none" w:sz="0" w:space="0" w:color="auto"/>
          </w:divBdr>
        </w:div>
        <w:div w:id="1241060740">
          <w:marLeft w:val="0"/>
          <w:marRight w:val="0"/>
          <w:marTop w:val="0"/>
          <w:marBottom w:val="0"/>
          <w:divBdr>
            <w:top w:val="none" w:sz="0" w:space="0" w:color="auto"/>
            <w:left w:val="none" w:sz="0" w:space="0" w:color="auto"/>
            <w:bottom w:val="none" w:sz="0" w:space="0" w:color="auto"/>
            <w:right w:val="none" w:sz="0" w:space="0" w:color="auto"/>
          </w:divBdr>
        </w:div>
        <w:div w:id="1844011741">
          <w:marLeft w:val="0"/>
          <w:marRight w:val="0"/>
          <w:marTop w:val="0"/>
          <w:marBottom w:val="0"/>
          <w:divBdr>
            <w:top w:val="none" w:sz="0" w:space="0" w:color="auto"/>
            <w:left w:val="none" w:sz="0" w:space="0" w:color="auto"/>
            <w:bottom w:val="none" w:sz="0" w:space="0" w:color="auto"/>
            <w:right w:val="none" w:sz="0" w:space="0" w:color="auto"/>
          </w:divBdr>
        </w:div>
        <w:div w:id="1816677680">
          <w:marLeft w:val="0"/>
          <w:marRight w:val="0"/>
          <w:marTop w:val="0"/>
          <w:marBottom w:val="0"/>
          <w:divBdr>
            <w:top w:val="none" w:sz="0" w:space="0" w:color="auto"/>
            <w:left w:val="none" w:sz="0" w:space="0" w:color="auto"/>
            <w:bottom w:val="none" w:sz="0" w:space="0" w:color="auto"/>
            <w:right w:val="none" w:sz="0" w:space="0" w:color="auto"/>
          </w:divBdr>
        </w:div>
        <w:div w:id="1119491695">
          <w:marLeft w:val="0"/>
          <w:marRight w:val="0"/>
          <w:marTop w:val="0"/>
          <w:marBottom w:val="0"/>
          <w:divBdr>
            <w:top w:val="none" w:sz="0" w:space="0" w:color="auto"/>
            <w:left w:val="none" w:sz="0" w:space="0" w:color="auto"/>
            <w:bottom w:val="none" w:sz="0" w:space="0" w:color="auto"/>
            <w:right w:val="none" w:sz="0" w:space="0" w:color="auto"/>
          </w:divBdr>
        </w:div>
      </w:divsChild>
    </w:div>
    <w:div w:id="628440512">
      <w:bodyDiv w:val="1"/>
      <w:marLeft w:val="0"/>
      <w:marRight w:val="0"/>
      <w:marTop w:val="0"/>
      <w:marBottom w:val="0"/>
      <w:divBdr>
        <w:top w:val="none" w:sz="0" w:space="0" w:color="auto"/>
        <w:left w:val="none" w:sz="0" w:space="0" w:color="auto"/>
        <w:bottom w:val="none" w:sz="0" w:space="0" w:color="auto"/>
        <w:right w:val="none" w:sz="0" w:space="0" w:color="auto"/>
      </w:divBdr>
      <w:divsChild>
        <w:div w:id="1194491731">
          <w:marLeft w:val="0"/>
          <w:marRight w:val="0"/>
          <w:marTop w:val="0"/>
          <w:marBottom w:val="0"/>
          <w:divBdr>
            <w:top w:val="none" w:sz="0" w:space="0" w:color="auto"/>
            <w:left w:val="none" w:sz="0" w:space="0" w:color="auto"/>
            <w:bottom w:val="none" w:sz="0" w:space="0" w:color="auto"/>
            <w:right w:val="none" w:sz="0" w:space="0" w:color="auto"/>
          </w:divBdr>
        </w:div>
        <w:div w:id="795172903">
          <w:marLeft w:val="0"/>
          <w:marRight w:val="0"/>
          <w:marTop w:val="0"/>
          <w:marBottom w:val="0"/>
          <w:divBdr>
            <w:top w:val="none" w:sz="0" w:space="0" w:color="auto"/>
            <w:left w:val="none" w:sz="0" w:space="0" w:color="auto"/>
            <w:bottom w:val="none" w:sz="0" w:space="0" w:color="auto"/>
            <w:right w:val="none" w:sz="0" w:space="0" w:color="auto"/>
          </w:divBdr>
        </w:div>
        <w:div w:id="1631664469">
          <w:marLeft w:val="0"/>
          <w:marRight w:val="0"/>
          <w:marTop w:val="0"/>
          <w:marBottom w:val="0"/>
          <w:divBdr>
            <w:top w:val="none" w:sz="0" w:space="0" w:color="auto"/>
            <w:left w:val="none" w:sz="0" w:space="0" w:color="auto"/>
            <w:bottom w:val="none" w:sz="0" w:space="0" w:color="auto"/>
            <w:right w:val="none" w:sz="0" w:space="0" w:color="auto"/>
          </w:divBdr>
        </w:div>
        <w:div w:id="301816597">
          <w:marLeft w:val="0"/>
          <w:marRight w:val="0"/>
          <w:marTop w:val="0"/>
          <w:marBottom w:val="0"/>
          <w:divBdr>
            <w:top w:val="none" w:sz="0" w:space="0" w:color="auto"/>
            <w:left w:val="none" w:sz="0" w:space="0" w:color="auto"/>
            <w:bottom w:val="none" w:sz="0" w:space="0" w:color="auto"/>
            <w:right w:val="none" w:sz="0" w:space="0" w:color="auto"/>
          </w:divBdr>
        </w:div>
        <w:div w:id="1319925022">
          <w:marLeft w:val="0"/>
          <w:marRight w:val="0"/>
          <w:marTop w:val="0"/>
          <w:marBottom w:val="0"/>
          <w:divBdr>
            <w:top w:val="none" w:sz="0" w:space="0" w:color="auto"/>
            <w:left w:val="none" w:sz="0" w:space="0" w:color="auto"/>
            <w:bottom w:val="none" w:sz="0" w:space="0" w:color="auto"/>
            <w:right w:val="none" w:sz="0" w:space="0" w:color="auto"/>
          </w:divBdr>
        </w:div>
      </w:divsChild>
    </w:div>
    <w:div w:id="765344680">
      <w:bodyDiv w:val="1"/>
      <w:marLeft w:val="0"/>
      <w:marRight w:val="0"/>
      <w:marTop w:val="0"/>
      <w:marBottom w:val="0"/>
      <w:divBdr>
        <w:top w:val="none" w:sz="0" w:space="0" w:color="auto"/>
        <w:left w:val="none" w:sz="0" w:space="0" w:color="auto"/>
        <w:bottom w:val="none" w:sz="0" w:space="0" w:color="auto"/>
        <w:right w:val="none" w:sz="0" w:space="0" w:color="auto"/>
      </w:divBdr>
    </w:div>
    <w:div w:id="796722279">
      <w:bodyDiv w:val="1"/>
      <w:marLeft w:val="0"/>
      <w:marRight w:val="0"/>
      <w:marTop w:val="0"/>
      <w:marBottom w:val="0"/>
      <w:divBdr>
        <w:top w:val="none" w:sz="0" w:space="0" w:color="auto"/>
        <w:left w:val="none" w:sz="0" w:space="0" w:color="auto"/>
        <w:bottom w:val="none" w:sz="0" w:space="0" w:color="auto"/>
        <w:right w:val="none" w:sz="0" w:space="0" w:color="auto"/>
      </w:divBdr>
    </w:div>
    <w:div w:id="885531632">
      <w:bodyDiv w:val="1"/>
      <w:marLeft w:val="0"/>
      <w:marRight w:val="0"/>
      <w:marTop w:val="0"/>
      <w:marBottom w:val="0"/>
      <w:divBdr>
        <w:top w:val="none" w:sz="0" w:space="0" w:color="auto"/>
        <w:left w:val="none" w:sz="0" w:space="0" w:color="auto"/>
        <w:bottom w:val="none" w:sz="0" w:space="0" w:color="auto"/>
        <w:right w:val="none" w:sz="0" w:space="0" w:color="auto"/>
      </w:divBdr>
    </w:div>
    <w:div w:id="1169296598">
      <w:bodyDiv w:val="1"/>
      <w:marLeft w:val="0"/>
      <w:marRight w:val="0"/>
      <w:marTop w:val="0"/>
      <w:marBottom w:val="0"/>
      <w:divBdr>
        <w:top w:val="none" w:sz="0" w:space="0" w:color="auto"/>
        <w:left w:val="none" w:sz="0" w:space="0" w:color="auto"/>
        <w:bottom w:val="none" w:sz="0" w:space="0" w:color="auto"/>
        <w:right w:val="none" w:sz="0" w:space="0" w:color="auto"/>
      </w:divBdr>
    </w:div>
    <w:div w:id="1179854985">
      <w:bodyDiv w:val="1"/>
      <w:marLeft w:val="0"/>
      <w:marRight w:val="0"/>
      <w:marTop w:val="0"/>
      <w:marBottom w:val="0"/>
      <w:divBdr>
        <w:top w:val="none" w:sz="0" w:space="0" w:color="auto"/>
        <w:left w:val="none" w:sz="0" w:space="0" w:color="auto"/>
        <w:bottom w:val="none" w:sz="0" w:space="0" w:color="auto"/>
        <w:right w:val="none" w:sz="0" w:space="0" w:color="auto"/>
      </w:divBdr>
    </w:div>
    <w:div w:id="1348171143">
      <w:bodyDiv w:val="1"/>
      <w:marLeft w:val="0"/>
      <w:marRight w:val="0"/>
      <w:marTop w:val="0"/>
      <w:marBottom w:val="0"/>
      <w:divBdr>
        <w:top w:val="none" w:sz="0" w:space="0" w:color="auto"/>
        <w:left w:val="none" w:sz="0" w:space="0" w:color="auto"/>
        <w:bottom w:val="none" w:sz="0" w:space="0" w:color="auto"/>
        <w:right w:val="none" w:sz="0" w:space="0" w:color="auto"/>
      </w:divBdr>
    </w:div>
    <w:div w:id="1373505361">
      <w:bodyDiv w:val="1"/>
      <w:marLeft w:val="0"/>
      <w:marRight w:val="0"/>
      <w:marTop w:val="0"/>
      <w:marBottom w:val="0"/>
      <w:divBdr>
        <w:top w:val="none" w:sz="0" w:space="0" w:color="auto"/>
        <w:left w:val="none" w:sz="0" w:space="0" w:color="auto"/>
        <w:bottom w:val="none" w:sz="0" w:space="0" w:color="auto"/>
        <w:right w:val="none" w:sz="0" w:space="0" w:color="auto"/>
      </w:divBdr>
    </w:div>
    <w:div w:id="1526940177">
      <w:bodyDiv w:val="1"/>
      <w:marLeft w:val="0"/>
      <w:marRight w:val="0"/>
      <w:marTop w:val="0"/>
      <w:marBottom w:val="0"/>
      <w:divBdr>
        <w:top w:val="none" w:sz="0" w:space="0" w:color="auto"/>
        <w:left w:val="none" w:sz="0" w:space="0" w:color="auto"/>
        <w:bottom w:val="none" w:sz="0" w:space="0" w:color="auto"/>
        <w:right w:val="none" w:sz="0" w:space="0" w:color="auto"/>
      </w:divBdr>
    </w:div>
    <w:div w:id="1818451678">
      <w:bodyDiv w:val="1"/>
      <w:marLeft w:val="0"/>
      <w:marRight w:val="0"/>
      <w:marTop w:val="0"/>
      <w:marBottom w:val="0"/>
      <w:divBdr>
        <w:top w:val="none" w:sz="0" w:space="0" w:color="auto"/>
        <w:left w:val="none" w:sz="0" w:space="0" w:color="auto"/>
        <w:bottom w:val="none" w:sz="0" w:space="0" w:color="auto"/>
        <w:right w:val="none" w:sz="0" w:space="0" w:color="auto"/>
      </w:divBdr>
    </w:div>
    <w:div w:id="1854370541">
      <w:bodyDiv w:val="1"/>
      <w:marLeft w:val="0"/>
      <w:marRight w:val="0"/>
      <w:marTop w:val="0"/>
      <w:marBottom w:val="0"/>
      <w:divBdr>
        <w:top w:val="none" w:sz="0" w:space="0" w:color="auto"/>
        <w:left w:val="none" w:sz="0" w:space="0" w:color="auto"/>
        <w:bottom w:val="none" w:sz="0" w:space="0" w:color="auto"/>
        <w:right w:val="none" w:sz="0" w:space="0" w:color="auto"/>
      </w:divBdr>
    </w:div>
    <w:div w:id="1897661531">
      <w:bodyDiv w:val="1"/>
      <w:marLeft w:val="0"/>
      <w:marRight w:val="0"/>
      <w:marTop w:val="0"/>
      <w:marBottom w:val="0"/>
      <w:divBdr>
        <w:top w:val="none" w:sz="0" w:space="0" w:color="auto"/>
        <w:left w:val="none" w:sz="0" w:space="0" w:color="auto"/>
        <w:bottom w:val="none" w:sz="0" w:space="0" w:color="auto"/>
        <w:right w:val="none" w:sz="0" w:space="0" w:color="auto"/>
      </w:divBdr>
      <w:divsChild>
        <w:div w:id="698890997">
          <w:marLeft w:val="0"/>
          <w:marRight w:val="0"/>
          <w:marTop w:val="0"/>
          <w:marBottom w:val="0"/>
          <w:divBdr>
            <w:top w:val="none" w:sz="0" w:space="0" w:color="auto"/>
            <w:left w:val="none" w:sz="0" w:space="0" w:color="auto"/>
            <w:bottom w:val="none" w:sz="0" w:space="0" w:color="auto"/>
            <w:right w:val="none" w:sz="0" w:space="0" w:color="auto"/>
          </w:divBdr>
        </w:div>
        <w:div w:id="1674646639">
          <w:marLeft w:val="0"/>
          <w:marRight w:val="0"/>
          <w:marTop w:val="0"/>
          <w:marBottom w:val="0"/>
          <w:divBdr>
            <w:top w:val="none" w:sz="0" w:space="0" w:color="auto"/>
            <w:left w:val="none" w:sz="0" w:space="0" w:color="auto"/>
            <w:bottom w:val="none" w:sz="0" w:space="0" w:color="auto"/>
            <w:right w:val="none" w:sz="0" w:space="0" w:color="auto"/>
          </w:divBdr>
        </w:div>
        <w:div w:id="1667587969">
          <w:marLeft w:val="0"/>
          <w:marRight w:val="0"/>
          <w:marTop w:val="0"/>
          <w:marBottom w:val="0"/>
          <w:divBdr>
            <w:top w:val="none" w:sz="0" w:space="0" w:color="auto"/>
            <w:left w:val="none" w:sz="0" w:space="0" w:color="auto"/>
            <w:bottom w:val="none" w:sz="0" w:space="0" w:color="auto"/>
            <w:right w:val="none" w:sz="0" w:space="0" w:color="auto"/>
          </w:divBdr>
        </w:div>
      </w:divsChild>
    </w:div>
    <w:div w:id="2029526387">
      <w:bodyDiv w:val="1"/>
      <w:marLeft w:val="0"/>
      <w:marRight w:val="0"/>
      <w:marTop w:val="0"/>
      <w:marBottom w:val="0"/>
      <w:divBdr>
        <w:top w:val="none" w:sz="0" w:space="0" w:color="auto"/>
        <w:left w:val="none" w:sz="0" w:space="0" w:color="auto"/>
        <w:bottom w:val="none" w:sz="0" w:space="0" w:color="auto"/>
        <w:right w:val="none" w:sz="0" w:space="0" w:color="auto"/>
      </w:divBdr>
    </w:div>
    <w:div w:id="2035113098">
      <w:bodyDiv w:val="1"/>
      <w:marLeft w:val="0"/>
      <w:marRight w:val="0"/>
      <w:marTop w:val="0"/>
      <w:marBottom w:val="0"/>
      <w:divBdr>
        <w:top w:val="none" w:sz="0" w:space="0" w:color="auto"/>
        <w:left w:val="none" w:sz="0" w:space="0" w:color="auto"/>
        <w:bottom w:val="none" w:sz="0" w:space="0" w:color="auto"/>
        <w:right w:val="none" w:sz="0" w:space="0" w:color="auto"/>
      </w:divBdr>
      <w:divsChild>
        <w:div w:id="191309378">
          <w:marLeft w:val="0"/>
          <w:marRight w:val="0"/>
          <w:marTop w:val="0"/>
          <w:marBottom w:val="0"/>
          <w:divBdr>
            <w:top w:val="none" w:sz="0" w:space="0" w:color="auto"/>
            <w:left w:val="none" w:sz="0" w:space="0" w:color="auto"/>
            <w:bottom w:val="none" w:sz="0" w:space="0" w:color="auto"/>
            <w:right w:val="none" w:sz="0" w:space="0" w:color="auto"/>
          </w:divBdr>
        </w:div>
        <w:div w:id="938488495">
          <w:marLeft w:val="0"/>
          <w:marRight w:val="0"/>
          <w:marTop w:val="0"/>
          <w:marBottom w:val="0"/>
          <w:divBdr>
            <w:top w:val="none" w:sz="0" w:space="0" w:color="auto"/>
            <w:left w:val="none" w:sz="0" w:space="0" w:color="auto"/>
            <w:bottom w:val="none" w:sz="0" w:space="0" w:color="auto"/>
            <w:right w:val="none" w:sz="0" w:space="0" w:color="auto"/>
          </w:divBdr>
        </w:div>
        <w:div w:id="106854173">
          <w:marLeft w:val="0"/>
          <w:marRight w:val="0"/>
          <w:marTop w:val="0"/>
          <w:marBottom w:val="0"/>
          <w:divBdr>
            <w:top w:val="none" w:sz="0" w:space="0" w:color="auto"/>
            <w:left w:val="none" w:sz="0" w:space="0" w:color="auto"/>
            <w:bottom w:val="none" w:sz="0" w:space="0" w:color="auto"/>
            <w:right w:val="none" w:sz="0" w:space="0" w:color="auto"/>
          </w:divBdr>
        </w:div>
        <w:div w:id="774668184">
          <w:marLeft w:val="0"/>
          <w:marRight w:val="0"/>
          <w:marTop w:val="0"/>
          <w:marBottom w:val="0"/>
          <w:divBdr>
            <w:top w:val="none" w:sz="0" w:space="0" w:color="auto"/>
            <w:left w:val="none" w:sz="0" w:space="0" w:color="auto"/>
            <w:bottom w:val="none" w:sz="0" w:space="0" w:color="auto"/>
            <w:right w:val="none" w:sz="0" w:space="0" w:color="auto"/>
          </w:divBdr>
        </w:div>
        <w:div w:id="525367935">
          <w:marLeft w:val="0"/>
          <w:marRight w:val="0"/>
          <w:marTop w:val="0"/>
          <w:marBottom w:val="0"/>
          <w:divBdr>
            <w:top w:val="none" w:sz="0" w:space="0" w:color="auto"/>
            <w:left w:val="none" w:sz="0" w:space="0" w:color="auto"/>
            <w:bottom w:val="none" w:sz="0" w:space="0" w:color="auto"/>
            <w:right w:val="none" w:sz="0" w:space="0" w:color="auto"/>
          </w:divBdr>
        </w:div>
        <w:div w:id="214852961">
          <w:marLeft w:val="0"/>
          <w:marRight w:val="0"/>
          <w:marTop w:val="0"/>
          <w:marBottom w:val="0"/>
          <w:divBdr>
            <w:top w:val="none" w:sz="0" w:space="0" w:color="auto"/>
            <w:left w:val="none" w:sz="0" w:space="0" w:color="auto"/>
            <w:bottom w:val="none" w:sz="0" w:space="0" w:color="auto"/>
            <w:right w:val="none" w:sz="0" w:space="0" w:color="auto"/>
          </w:divBdr>
        </w:div>
        <w:div w:id="1864436803">
          <w:marLeft w:val="0"/>
          <w:marRight w:val="0"/>
          <w:marTop w:val="0"/>
          <w:marBottom w:val="0"/>
          <w:divBdr>
            <w:top w:val="none" w:sz="0" w:space="0" w:color="auto"/>
            <w:left w:val="none" w:sz="0" w:space="0" w:color="auto"/>
            <w:bottom w:val="none" w:sz="0" w:space="0" w:color="auto"/>
            <w:right w:val="none" w:sz="0" w:space="0" w:color="auto"/>
          </w:divBdr>
        </w:div>
      </w:divsChild>
    </w:div>
    <w:div w:id="2138720279">
      <w:bodyDiv w:val="1"/>
      <w:marLeft w:val="0"/>
      <w:marRight w:val="0"/>
      <w:marTop w:val="0"/>
      <w:marBottom w:val="0"/>
      <w:divBdr>
        <w:top w:val="none" w:sz="0" w:space="0" w:color="auto"/>
        <w:left w:val="none" w:sz="0" w:space="0" w:color="auto"/>
        <w:bottom w:val="none" w:sz="0" w:space="0" w:color="auto"/>
        <w:right w:val="none" w:sz="0" w:space="0" w:color="auto"/>
      </w:divBdr>
      <w:divsChild>
        <w:div w:id="1831213960">
          <w:marLeft w:val="0"/>
          <w:marRight w:val="0"/>
          <w:marTop w:val="0"/>
          <w:marBottom w:val="0"/>
          <w:divBdr>
            <w:top w:val="none" w:sz="0" w:space="0" w:color="auto"/>
            <w:left w:val="none" w:sz="0" w:space="0" w:color="auto"/>
            <w:bottom w:val="none" w:sz="0" w:space="0" w:color="auto"/>
            <w:right w:val="none" w:sz="0" w:space="0" w:color="auto"/>
          </w:divBdr>
        </w:div>
        <w:div w:id="1275750644">
          <w:marLeft w:val="0"/>
          <w:marRight w:val="0"/>
          <w:marTop w:val="0"/>
          <w:marBottom w:val="0"/>
          <w:divBdr>
            <w:top w:val="none" w:sz="0" w:space="0" w:color="auto"/>
            <w:left w:val="none" w:sz="0" w:space="0" w:color="auto"/>
            <w:bottom w:val="none" w:sz="0" w:space="0" w:color="auto"/>
            <w:right w:val="none" w:sz="0" w:space="0" w:color="auto"/>
          </w:divBdr>
        </w:div>
        <w:div w:id="229734021">
          <w:marLeft w:val="0"/>
          <w:marRight w:val="0"/>
          <w:marTop w:val="0"/>
          <w:marBottom w:val="0"/>
          <w:divBdr>
            <w:top w:val="none" w:sz="0" w:space="0" w:color="auto"/>
            <w:left w:val="none" w:sz="0" w:space="0" w:color="auto"/>
            <w:bottom w:val="none" w:sz="0" w:space="0" w:color="auto"/>
            <w:right w:val="none" w:sz="0" w:space="0" w:color="auto"/>
          </w:divBdr>
        </w:div>
        <w:div w:id="1972711741">
          <w:marLeft w:val="0"/>
          <w:marRight w:val="0"/>
          <w:marTop w:val="0"/>
          <w:marBottom w:val="0"/>
          <w:divBdr>
            <w:top w:val="none" w:sz="0" w:space="0" w:color="auto"/>
            <w:left w:val="none" w:sz="0" w:space="0" w:color="auto"/>
            <w:bottom w:val="none" w:sz="0" w:space="0" w:color="auto"/>
            <w:right w:val="none" w:sz="0" w:space="0" w:color="auto"/>
          </w:divBdr>
        </w:div>
        <w:div w:id="6916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3C68-2736-4C26-ABE9-274B00AB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8498</Words>
  <Characters>50989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Komputronik S.A.</Company>
  <LinksUpToDate>false</LinksUpToDate>
  <CharactersWithSpaces>59369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piohyl</dc:creator>
  <cp:lastModifiedBy>Ilona Maciak</cp:lastModifiedBy>
  <cp:revision>7</cp:revision>
  <cp:lastPrinted>2017-08-22T06:54:00Z</cp:lastPrinted>
  <dcterms:created xsi:type="dcterms:W3CDTF">2017-08-23T11:05:00Z</dcterms:created>
  <dcterms:modified xsi:type="dcterms:W3CDTF">2017-08-31T12:01:00Z</dcterms:modified>
</cp:coreProperties>
</file>