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295FA35" w14:textId="77777777" w:rsidR="00C62EF3" w:rsidRPr="00F84F1D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4A2F6698" w:rsidR="008E66A1" w:rsidRPr="00F84F1D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Dostawa </w:t>
      </w:r>
      <w:r w:rsidR="005B5A71" w:rsidRPr="005B5A71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5B5A71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na potrzeby </w:t>
      </w:r>
      <w:r w:rsidR="006200A8" w:rsidRPr="00F84F1D">
        <w:rPr>
          <w:rFonts w:ascii="Tahoma" w:eastAsia="Calibri" w:hAnsi="Tahoma" w:cs="Tahoma"/>
          <w:b/>
          <w:i/>
          <w:iCs/>
          <w:sz w:val="20"/>
          <w:szCs w:val="20"/>
        </w:rPr>
        <w:t>Zarządu Transportu Miejskiego w 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Poznaniu”</w:t>
      </w:r>
    </w:p>
    <w:p w14:paraId="0603829A" w14:textId="77777777" w:rsidR="00FE1609" w:rsidRDefault="00FE1609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43AF06" w14:textId="1B783CBE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 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469E5292" w14:textId="77777777" w:rsidR="00F52BFD" w:rsidRPr="00F84F1D" w:rsidRDefault="00F52BFD">
      <w:pPr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br w:type="page"/>
      </w:r>
    </w:p>
    <w:p w14:paraId="42D27944" w14:textId="77777777" w:rsidR="00375D04" w:rsidRPr="00F84F1D" w:rsidRDefault="00375D04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82F175" w14:textId="77777777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7D75E17A" w14:textId="6070C8D1" w:rsidR="004E618F" w:rsidRPr="00F84F1D" w:rsidRDefault="004E618F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</w:rPr>
        <w:t>1</w:t>
      </w:r>
      <w:r w:rsidR="001204DD">
        <w:rPr>
          <w:rFonts w:ascii="Tahoma" w:eastAsia="Calibri" w:hAnsi="Tahoma" w:cs="Tahoma"/>
          <w:sz w:val="20"/>
          <w:szCs w:val="20"/>
        </w:rPr>
        <w:t>.A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2"/>
        <w:gridCol w:w="2835"/>
        <w:gridCol w:w="3685"/>
      </w:tblGrid>
      <w:tr w:rsidR="004E618F" w:rsidRPr="00F84F1D" w14:paraId="568536FD" w14:textId="77777777" w:rsidTr="00836ED8">
        <w:tc>
          <w:tcPr>
            <w:tcW w:w="704" w:type="dxa"/>
            <w:shd w:val="clear" w:color="auto" w:fill="auto"/>
            <w:vAlign w:val="center"/>
          </w:tcPr>
          <w:p w14:paraId="2E580C91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2E6EB46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C92AD" w14:textId="6A19810A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Nazwa </w:t>
            </w:r>
            <w:r w:rsidR="005B5A71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produktu, model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E42B" w14:textId="77777777" w:rsidR="004E618F" w:rsidRPr="00F84F1D" w:rsidRDefault="004E618F" w:rsidP="000F475F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Opis szczegółowy odpowiadający wymaganiom określonym w </w:t>
            </w:r>
            <w:r w:rsidR="000F475F"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OPZ</w:t>
            </w:r>
          </w:p>
        </w:tc>
      </w:tr>
      <w:tr w:rsidR="009455C9" w:rsidRPr="00F84F1D" w14:paraId="00D1F076" w14:textId="77777777" w:rsidTr="00836ED8">
        <w:tc>
          <w:tcPr>
            <w:tcW w:w="704" w:type="dxa"/>
            <w:shd w:val="clear" w:color="auto" w:fill="auto"/>
          </w:tcPr>
          <w:p w14:paraId="7943D857" w14:textId="77777777" w:rsidR="009455C9" w:rsidRPr="00F84F1D" w:rsidRDefault="009455C9" w:rsidP="00A77F4B">
            <w:pPr>
              <w:pStyle w:val="Akapitzlist"/>
              <w:numPr>
                <w:ilvl w:val="0"/>
                <w:numId w:val="3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3ACF7765" w14:textId="6EBF03F6" w:rsidR="009455C9" w:rsidRPr="00F84F1D" w:rsidRDefault="00C972A9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Macierz dyskowa</w:t>
            </w:r>
          </w:p>
        </w:tc>
        <w:tc>
          <w:tcPr>
            <w:tcW w:w="2835" w:type="dxa"/>
            <w:shd w:val="clear" w:color="auto" w:fill="auto"/>
          </w:tcPr>
          <w:p w14:paraId="442425D9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9CCCC9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4A059A7" w14:textId="169C0E79" w:rsidR="005B5A71" w:rsidRDefault="005B5A71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3145E2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76657220" w14:textId="0DD02176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2CD82F76" w14:textId="19AEC2D6" w:rsidR="004E618F" w:rsidRPr="00F84F1D" w:rsidRDefault="004E618F" w:rsidP="004E618F">
      <w:pPr>
        <w:rPr>
          <w:rFonts w:ascii="Tahoma" w:eastAsia="Calibri" w:hAnsi="Tahoma" w:cs="Tahoma"/>
          <w:sz w:val="20"/>
          <w:szCs w:val="20"/>
          <w:lang w:eastAsia="en-US"/>
        </w:rPr>
      </w:pPr>
      <w:r w:rsidRPr="00F84F1D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1.B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4E618F" w:rsidRPr="00001054" w14:paraId="78038A38" w14:textId="77777777" w:rsidTr="00836ED8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A182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  <w:p w14:paraId="5B24EB5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2661B7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376A90" w14:textId="52506922" w:rsidR="00001054" w:rsidRPr="00001054" w:rsidRDefault="004E618F" w:rsidP="0000105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FFC5B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5951E309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57FC861" w14:textId="3107E463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1 </w:t>
            </w:r>
            <w:r w:rsidR="0087348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zestaw</w:t>
            </w:r>
          </w:p>
          <w:p w14:paraId="0237119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AAE4B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  <w:p w14:paraId="5814001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2536BA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25550F6D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4B3D9FD0" w14:textId="3F481FD8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703C80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we zasady: kol. 5 x</w:t>
            </w:r>
            <w:r w:rsidR="005B5A71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% VAT )</w:t>
            </w:r>
          </w:p>
          <w:p w14:paraId="1628D8E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8154CA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E618F" w:rsidRPr="00001054" w14:paraId="5C20F164" w14:textId="77777777" w:rsidTr="00836ED8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DA70F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92C9FD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FD4C27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5F6B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8810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9C6C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8C6C3B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455C9" w:rsidRPr="00001054" w14:paraId="311F874F" w14:textId="77777777" w:rsidTr="00A93E03">
        <w:tc>
          <w:tcPr>
            <w:tcW w:w="704" w:type="dxa"/>
            <w:shd w:val="clear" w:color="auto" w:fill="auto"/>
            <w:vAlign w:val="center"/>
          </w:tcPr>
          <w:p w14:paraId="61139113" w14:textId="77777777" w:rsidR="009455C9" w:rsidRPr="00001054" w:rsidRDefault="009455C9" w:rsidP="00A77F4B">
            <w:pPr>
              <w:pStyle w:val="Akapitzlist"/>
              <w:numPr>
                <w:ilvl w:val="0"/>
                <w:numId w:val="4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B18176" w14:textId="16D172B9" w:rsidR="009455C9" w:rsidRPr="00001054" w:rsidRDefault="00C972A9" w:rsidP="009455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Macierz dyskowa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C05380" w14:textId="149FD08C" w:rsidR="009455C9" w:rsidRPr="00001054" w:rsidRDefault="00C972A9" w:rsidP="009455C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5021DA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82F858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237ED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6C6BBC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E618F" w:rsidRPr="00001054" w14:paraId="15F7699C" w14:textId="77777777" w:rsidTr="00836E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0DF87746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00468C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1433BA63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1F822EA0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60436E9D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43B53F0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20558B1" w14:textId="653603C4" w:rsidR="005B5A71" w:rsidRPr="00F84F1D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F84F1D">
        <w:rPr>
          <w:rFonts w:ascii="Tahoma" w:eastAsia="Calibri" w:hAnsi="Tahoma" w:cs="Tahoma"/>
          <w:sz w:val="20"/>
          <w:szCs w:val="20"/>
        </w:rPr>
        <w:t xml:space="preserve"> ………………………… zł (słownie: ………………………………………………………………………………………..).</w:t>
      </w:r>
    </w:p>
    <w:p w14:paraId="280106D4" w14:textId="315515F0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CC1325" w:rsidRPr="00CC1325">
        <w:rPr>
          <w:rFonts w:ascii="Tahoma" w:hAnsi="Tahoma" w:cs="Tahoma"/>
          <w:b/>
          <w:u w:val="single"/>
        </w:rPr>
        <w:t>REPLIKACJA MACIERZOWA</w:t>
      </w:r>
      <w:r w:rsidR="00CC1325" w:rsidRPr="00CC1325" w:rsidDel="00CC1325">
        <w:rPr>
          <w:rFonts w:ascii="Tahoma" w:hAnsi="Tahoma" w:cs="Tahoma"/>
          <w:b/>
          <w:u w:val="single"/>
        </w:rPr>
        <w:t xml:space="preserve"> </w:t>
      </w:r>
    </w:p>
    <w:p w14:paraId="728A21BE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0B2EFFD0" w14:textId="77777777" w:rsidR="00A4297E" w:rsidRDefault="005A5C6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Możliwe</w:t>
      </w:r>
      <w:r w:rsidRPr="005A5C6F">
        <w:rPr>
          <w:rFonts w:ascii="Tahoma" w:hAnsi="Tahoma" w:cs="Tahoma"/>
          <w:bCs/>
          <w:sz w:val="20"/>
          <w:szCs w:val="20"/>
        </w:rPr>
        <w:t xml:space="preserve"> zestawienie replikacji macierzowej poprzez natywny mechanizm z posiadanymi przez Zamawiającego systemami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="0008017B" w:rsidRPr="000A0117">
        <w:rPr>
          <w:rFonts w:ascii="Tahoma" w:hAnsi="Tahoma" w:cs="Tahoma"/>
          <w:b/>
          <w:sz w:val="20"/>
          <w:szCs w:val="20"/>
        </w:rPr>
        <w:t>spełnia/nie spełnia *</w:t>
      </w:r>
    </w:p>
    <w:p w14:paraId="378C7374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</w:p>
    <w:p w14:paraId="71F6917D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</w:p>
    <w:p w14:paraId="2A15E9E5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>Dane techniczne oferowanej macierzy</w:t>
      </w:r>
      <w:r>
        <w:rPr>
          <w:rFonts w:ascii="Tahoma" w:hAnsi="Tahoma" w:cs="Tahoma"/>
          <w:b/>
          <w:sz w:val="20"/>
          <w:szCs w:val="20"/>
        </w:rPr>
        <w:t>:</w:t>
      </w:r>
    </w:p>
    <w:p w14:paraId="77372291" w14:textId="45FECD14" w:rsidR="0008017B" w:rsidRPr="00FE1609" w:rsidRDefault="0008017B" w:rsidP="00FE1609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AF1EB3" w:rsidRPr="002C57E3" w14:paraId="35539A2E" w14:textId="7144EBCD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52E401A6" w14:textId="77777777" w:rsidR="00AF1EB3" w:rsidRPr="00FE1609" w:rsidRDefault="00AF1EB3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102021F0" w14:textId="77777777" w:rsidR="00AF1EB3" w:rsidRPr="00FE1609" w:rsidRDefault="00AF1EB3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3BC2A57E" w14:textId="77777777" w:rsidR="00AF1EB3" w:rsidRPr="00FE1609" w:rsidRDefault="00AF1EB3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7C170697" w14:textId="23BE0D78" w:rsidR="00AF1EB3" w:rsidRPr="00FE1609" w:rsidRDefault="00AF1EB3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5A5C6F" w:rsidRPr="002C57E3" w14:paraId="5E819E33" w14:textId="6B08B582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FA8711B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Hlk72151721"/>
          </w:p>
        </w:tc>
        <w:tc>
          <w:tcPr>
            <w:tcW w:w="1730" w:type="dxa"/>
          </w:tcPr>
          <w:p w14:paraId="4C07C35E" w14:textId="14FE6677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Obudowa </w:t>
            </w:r>
          </w:p>
        </w:tc>
        <w:tc>
          <w:tcPr>
            <w:tcW w:w="4733" w:type="dxa"/>
          </w:tcPr>
          <w:p w14:paraId="60DECD94" w14:textId="7EAD949B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być dostarczony ze wszystkimi komponentami do instalacji w szafie rack 19''.</w:t>
            </w:r>
          </w:p>
        </w:tc>
        <w:tc>
          <w:tcPr>
            <w:tcW w:w="3491" w:type="dxa"/>
          </w:tcPr>
          <w:p w14:paraId="482827E6" w14:textId="0C8923DE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3439000C" w14:textId="478F7D25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2D9EF8E6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6BF5863" w14:textId="642AF30C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5EBAED32" w14:textId="77777777" w:rsidR="005A5C6F" w:rsidRPr="00FE1609" w:rsidRDefault="005A5C6F" w:rsidP="005A5C6F">
            <w:pPr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zostać dostarczony w konfiguracji zawierającej minimum 8 dysków 1,92 TB typu SSD NVMe.</w:t>
            </w:r>
          </w:p>
          <w:p w14:paraId="442A8F33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System musi posiadać możliwość rozbudowy o kolejne dyski i wspierać dedykowane dyski typu SSD NVMe w zakresie pojemności od 1,92 TB do 15,3 TB.</w:t>
            </w:r>
          </w:p>
          <w:p w14:paraId="2FC470EB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Budowa systemu musi umożliwiać rozbudowę do modeli wyższych bez potrzeby kopiowania lub migracji danych.</w:t>
            </w:r>
          </w:p>
          <w:p w14:paraId="1E2CB599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lastRenderedPageBreak/>
              <w:t>Zamawiający przez model wyższy rozumie inny model macierzy danego producenta z większą pamięcią cache oraz wydajniejszymi procesorami.</w:t>
            </w:r>
          </w:p>
          <w:p w14:paraId="02EF5FC0" w14:textId="343F7A56" w:rsidR="005A5C6F" w:rsidRPr="00FB5D98" w:rsidRDefault="005A5C6F" w:rsidP="005A5C6F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System musi mieć możliwość rozbudowy do 48 dysków SSD NVMe.</w:t>
            </w:r>
          </w:p>
        </w:tc>
        <w:tc>
          <w:tcPr>
            <w:tcW w:w="3491" w:type="dxa"/>
          </w:tcPr>
          <w:p w14:paraId="66C0BF11" w14:textId="3161DBD0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5A5C6F" w:rsidRPr="002C57E3" w14:paraId="33BA1EDE" w14:textId="0B6EEC16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9C3A827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21697D7" w14:textId="02450139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Kontroler </w:t>
            </w:r>
          </w:p>
        </w:tc>
        <w:tc>
          <w:tcPr>
            <w:tcW w:w="4733" w:type="dxa"/>
          </w:tcPr>
          <w:p w14:paraId="2C4CA23A" w14:textId="77777777" w:rsidR="005A5C6F" w:rsidRPr="00FE1609" w:rsidRDefault="005A5C6F" w:rsidP="005A5C6F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Zainstalowane dwa kontrolery wyposażone w przynajmniej 128 GB pamięci RAM (sumarycznie dla dwóch kontrolerów).</w:t>
            </w:r>
          </w:p>
          <w:p w14:paraId="12F85F98" w14:textId="77777777" w:rsidR="005A5C6F" w:rsidRPr="00FE1609" w:rsidRDefault="005A5C6F" w:rsidP="005A5C6F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Kontrolery te muszą pracować w trybie wysokiej dostępności.</w:t>
            </w:r>
          </w:p>
          <w:p w14:paraId="5D781080" w14:textId="686F23E9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Zamawiający wymaga</w:t>
            </w:r>
            <w:r w:rsidR="00BA02AE">
              <w:rPr>
                <w:rFonts w:ascii="Tahoma" w:hAnsi="Tahoma" w:cs="Tahoma"/>
                <w:sz w:val="20"/>
                <w:szCs w:val="20"/>
              </w:rPr>
              <w:t>,</w:t>
            </w:r>
            <w:r w:rsidRPr="00FB5D98">
              <w:rPr>
                <w:rFonts w:ascii="Tahoma" w:hAnsi="Tahoma" w:cs="Tahoma"/>
                <w:sz w:val="20"/>
                <w:szCs w:val="20"/>
              </w:rPr>
              <w:t xml:space="preserve"> aby dostarczone kontrolery posiadały procesory wykonane w architekturze Intel</w:t>
            </w:r>
            <w:r w:rsidR="00BA02AE">
              <w:rPr>
                <w:rFonts w:ascii="Tahoma" w:hAnsi="Tahoma" w:cs="Tahoma"/>
                <w:sz w:val="20"/>
                <w:szCs w:val="20"/>
              </w:rPr>
              <w:t xml:space="preserve"> lub AMD</w:t>
            </w:r>
            <w:r w:rsidRPr="00FB5D98">
              <w:rPr>
                <w:rFonts w:ascii="Tahoma" w:hAnsi="Tahoma" w:cs="Tahoma"/>
                <w:sz w:val="20"/>
                <w:szCs w:val="20"/>
              </w:rPr>
              <w:t>. Dopuszczalne jest zastosowanie procesorów w innej architekturze, przy zachowaniu minimalnej ilości 64 rdzeni na procesor.</w:t>
            </w:r>
          </w:p>
          <w:p w14:paraId="621DE6E0" w14:textId="77777777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W przypadku awarii zasilania dane niezapisane na dyski, przechowywane w pamięci muszą być zabezpieczone za pomocą podtrzymania bateryjnego przez minimum 72 godziny lub poprzez zrzut na pamięć nieulotną.</w:t>
            </w:r>
          </w:p>
          <w:p w14:paraId="302EFA30" w14:textId="77777777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Macierz musi pozwalać na rozbudowę do klastra 24 kontrolerów lub musi pozwalać na obsługę przynajmniej 1500 dysków w obrębie pary kontrolerów lub klastra w zależności od sposobu realizacji funkcjonalności. Dodatkowo wymagane jest aby była możliwa rozbudowa o minimum 576 nośników SSD NVMe w ramach klastra lub pary kontrolerów.</w:t>
            </w:r>
          </w:p>
          <w:p w14:paraId="1E801BE0" w14:textId="1540E2F9" w:rsidR="005A5C6F" w:rsidRPr="00FB5D98" w:rsidRDefault="005A5C6F" w:rsidP="005A5C6F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Wszystkie kontrolery muszą pracować pod kontrolą tego samego systemu operacyjnego stworzonego przez producenta urządzenia. Nie dopuszcza się zastosowania systemu, w którym udostępnianiem danych zarządzają różne systemy operacyjne w jednym zintegrowanym urządzeniu.</w:t>
            </w:r>
          </w:p>
        </w:tc>
        <w:tc>
          <w:tcPr>
            <w:tcW w:w="3491" w:type="dxa"/>
          </w:tcPr>
          <w:p w14:paraId="3963B39A" w14:textId="62FEB344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75545FFB" w14:textId="40EDE9D8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63EF0DC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7AAE2F7" w14:textId="755034A2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Interfejsy </w:t>
            </w:r>
          </w:p>
        </w:tc>
        <w:tc>
          <w:tcPr>
            <w:tcW w:w="4733" w:type="dxa"/>
          </w:tcPr>
          <w:p w14:paraId="21002450" w14:textId="77777777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Oferowany system musi posiadać minimum:</w:t>
            </w:r>
          </w:p>
          <w:p w14:paraId="1D7DD579" w14:textId="77777777" w:rsidR="005A5C6F" w:rsidRPr="00FE1609" w:rsidRDefault="005A5C6F" w:rsidP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4 porty 25GbE,</w:t>
            </w:r>
          </w:p>
          <w:p w14:paraId="0DE0C943" w14:textId="77777777" w:rsidR="005A5C6F" w:rsidRPr="00FE1609" w:rsidRDefault="005A5C6F" w:rsidP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4 porty 10GbE Base-T (RJ45),</w:t>
            </w:r>
          </w:p>
          <w:p w14:paraId="1E4C6F3E" w14:textId="7A00DB0F" w:rsidR="005A5C6F" w:rsidRPr="00FE1609" w:rsidRDefault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8 portów 32Gb FC.</w:t>
            </w:r>
          </w:p>
        </w:tc>
        <w:tc>
          <w:tcPr>
            <w:tcW w:w="3491" w:type="dxa"/>
          </w:tcPr>
          <w:p w14:paraId="0230E794" w14:textId="5725D0C6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00F68548" w14:textId="2930BFA8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0F324CF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D7E028" w14:textId="0A4AB033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RAID</w:t>
            </w:r>
          </w:p>
        </w:tc>
        <w:tc>
          <w:tcPr>
            <w:tcW w:w="4733" w:type="dxa"/>
          </w:tcPr>
          <w:p w14:paraId="56BF38E5" w14:textId="6E564AA0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RAID musi zapewniać taki poziom zabezpieczania danych, aby był możliwy do nich dostęp w sytuacji awarii minimum dwóch dysków w grupie RAID.</w:t>
            </w:r>
          </w:p>
        </w:tc>
        <w:tc>
          <w:tcPr>
            <w:tcW w:w="3491" w:type="dxa"/>
          </w:tcPr>
          <w:p w14:paraId="4E354DEC" w14:textId="6413707F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05DFF97D" w14:textId="6DFB48EC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C63D7B4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D56BEE0" w14:textId="7F79BB81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Kopie migawkowe </w:t>
            </w:r>
          </w:p>
        </w:tc>
        <w:tc>
          <w:tcPr>
            <w:tcW w:w="4733" w:type="dxa"/>
          </w:tcPr>
          <w:p w14:paraId="33E57C58" w14:textId="7C1B4CE7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być wyposażona w system kopii migawkowych, dostępny dla wszystkich rodzajów danych przechowywanych na macierzy. System kopii migawkowych nie może powodować spadku wydajności macierzy +/- 5 %.</w:t>
            </w:r>
          </w:p>
        </w:tc>
        <w:tc>
          <w:tcPr>
            <w:tcW w:w="3491" w:type="dxa"/>
          </w:tcPr>
          <w:p w14:paraId="5C297F0B" w14:textId="0AF503D7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7FCB497C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304D6F10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5AA7847" w14:textId="3E6242AA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Obsługiwane protokoły </w:t>
            </w:r>
          </w:p>
        </w:tc>
        <w:tc>
          <w:tcPr>
            <w:tcW w:w="4733" w:type="dxa"/>
            <w:shd w:val="clear" w:color="auto" w:fill="auto"/>
          </w:tcPr>
          <w:p w14:paraId="5AA43A44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obsługiwać jednocześnie protokoły FC, FCoE, FC/NVMe, iSCSi, CIFS (SMB) i NFS oraz udostępnianie danych protokołem S3.</w:t>
            </w:r>
          </w:p>
          <w:p w14:paraId="17D50FDE" w14:textId="695C199E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Jeśli wymagane są licencje Zamawiający wymaga dostarczenia ich wraz z macierzą.</w:t>
            </w:r>
          </w:p>
        </w:tc>
        <w:tc>
          <w:tcPr>
            <w:tcW w:w="3491" w:type="dxa"/>
            <w:shd w:val="clear" w:color="auto" w:fill="auto"/>
          </w:tcPr>
          <w:p w14:paraId="63CE637B" w14:textId="216CF0B3" w:rsidR="005A5C6F" w:rsidRPr="00FE1609" w:rsidRDefault="005A5C6F" w:rsidP="005A5C6F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6FA10FBE" w14:textId="7749F085" w:rsidTr="00FE1609">
        <w:tblPrEx>
          <w:jc w:val="left"/>
        </w:tblPrEx>
        <w:trPr>
          <w:trHeight w:val="1821"/>
        </w:trPr>
        <w:tc>
          <w:tcPr>
            <w:tcW w:w="523" w:type="dxa"/>
            <w:vMerge w:val="restart"/>
            <w:shd w:val="clear" w:color="auto" w:fill="auto"/>
          </w:tcPr>
          <w:p w14:paraId="0429B734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4F65FA57" w14:textId="0D4FB737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Funkcjonalności</w:t>
            </w:r>
          </w:p>
        </w:tc>
        <w:tc>
          <w:tcPr>
            <w:tcW w:w="4733" w:type="dxa"/>
          </w:tcPr>
          <w:p w14:paraId="46347346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mieć możliwość połączenia w klaster z posiadaną przez Zamawiającego macierzą NetApp FAS2750 w celu migracji wolumenów bez przerwania dostępu do danych. </w:t>
            </w:r>
          </w:p>
          <w:p w14:paraId="65372A68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62B9CA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funkcjonalność eliminacji (deduplikacji) identycznych bloków danych in-line. Macierz musi oferować funkcjonalność kompresji typu inline (dane w znajdujące się w pamięci cache przed zapisaniem na dyski) oraz postprocess (dane umiejscowione na dyskach) dla wszystkich rodzajów udostępnianych danych.</w:t>
            </w:r>
          </w:p>
          <w:p w14:paraId="367E4457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107BCC" w14:textId="388FF6C6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Jeżeli oferowane rozwiązanie nie pozwala na deduplikację i kompresję w locie lub nie posiada możliwości deduplikacji i kompresji zamawiający wymaga dostarczenie czterokrotnej pojemności wyspecyfikowanej w punkcie </w:t>
            </w:r>
            <w:r w:rsidR="00FE1609">
              <w:rPr>
                <w:rFonts w:ascii="Tahoma" w:hAnsi="Tahoma" w:cs="Tahoma"/>
                <w:sz w:val="20"/>
                <w:szCs w:val="20"/>
              </w:rPr>
              <w:t>2</w:t>
            </w:r>
            <w:r w:rsidRPr="00FE1609">
              <w:rPr>
                <w:rFonts w:ascii="Tahoma" w:hAnsi="Tahoma" w:cs="Tahoma"/>
                <w:sz w:val="20"/>
                <w:szCs w:val="20"/>
              </w:rPr>
              <w:t xml:space="preserve"> niniejszej tabeli.</w:t>
            </w:r>
          </w:p>
          <w:p w14:paraId="046A11D0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39FDB9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wsparcie dla wielu ścieżek dla systemów Windows, Linux, VMware, Unix.</w:t>
            </w:r>
          </w:p>
          <w:p w14:paraId="6FC7A601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3861AF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umożliwiać dynamiczną zmianę rozmiaru wolumenów logicznych bez przerywania pracy macierzy i bez przerywania dostępu do danych znajdujących się na danym wolumenie.</w:t>
            </w:r>
          </w:p>
          <w:p w14:paraId="63085103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18C325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funkcjonalność priorytetyzacji zadań.</w:t>
            </w:r>
          </w:p>
          <w:p w14:paraId="3E03413A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DEA1F4C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pozwalać funkcjonalność replikacji danych z inną macierzą tego samego producenta w trybie synchronicznym oraz asynchronicznym. Funkcjonalność replikacji danych musi być natywnym narzędziem macierzy. Przed procesem replikacji macierz musi umożliwiać włączenie procesu deduplikacji danych w celu optymalizacji wykorzystania łącza dla replikowanych zasobów lub zamawiający wymaga dostarczenia zewnętrznego narzędzia do deduplikacji replikowanych danych.</w:t>
            </w:r>
          </w:p>
          <w:p w14:paraId="39BF5631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A5663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być dostarczona z sprzętem i/lub odpowiednią licencją, aby umożliwić szyfrowanie wybranego wolumenu, szyfrowanie może się odbywać poprzez zewnętrzne narzędzie szyfrujące lub może być realizowane mechanizmem macierzy.</w:t>
            </w:r>
          </w:p>
          <w:p w14:paraId="30B103D6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ECE390" w14:textId="77777777" w:rsidR="005A5C6F" w:rsidRPr="00FE1609" w:rsidRDefault="005A5C6F" w:rsidP="005A5C6F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możliwość automatycznego informowania przez macierz i przesyłania przez pocztę elektroniczną raportów o konfiguracji, utworzonych dyskach logicznych i woluminach oraz ich zajętości wraz z podziałem na rzeczywiste dane, kopie migawkowe oraz dane wewnętrzne macierzy.</w:t>
            </w:r>
          </w:p>
          <w:p w14:paraId="47E2D557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1F5620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 macierzą Zamawiający wymaga dostarczenia oprogramowania, które pozwala na:</w:t>
            </w:r>
          </w:p>
          <w:p w14:paraId="2137FC91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wykorzystania przestrzeni na macierzy,</w:t>
            </w:r>
          </w:p>
          <w:p w14:paraId="7BE11293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grup RAID,</w:t>
            </w:r>
          </w:p>
          <w:p w14:paraId="049291AF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monitoring wykonywanych backupów/replikacji danych między macierzami,</w:t>
            </w:r>
          </w:p>
          <w:p w14:paraId="05EB98DB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wydajności macierzy,</w:t>
            </w:r>
          </w:p>
          <w:p w14:paraId="3A53B877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analizę i diagnozę spadku wydajności.</w:t>
            </w:r>
          </w:p>
          <w:p w14:paraId="38D87BD5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13629C" w14:textId="77777777" w:rsidR="005A5C6F" w:rsidRPr="00FE1609" w:rsidRDefault="005A5C6F" w:rsidP="005A5C6F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dopuszcza zastosowanie oprogramowania zewnętrznego, na pełną maksymalną pojemność macierzy.</w:t>
            </w:r>
          </w:p>
          <w:p w14:paraId="56BAD868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0CF089" w14:textId="77777777" w:rsidR="005A5C6F" w:rsidRPr="00FE1609" w:rsidRDefault="005A5C6F" w:rsidP="005A5C6F">
            <w:pPr>
              <w:tabs>
                <w:tab w:val="left" w:pos="960"/>
              </w:tabs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funkcjonalności muszą być dostarczone na maksymalną pojemność macierzy.</w:t>
            </w:r>
          </w:p>
          <w:p w14:paraId="6074A10B" w14:textId="77777777" w:rsidR="005A5C6F" w:rsidRPr="00FE1609" w:rsidRDefault="005A5C6F" w:rsidP="005A5C6F">
            <w:pPr>
              <w:tabs>
                <w:tab w:val="left" w:pos="960"/>
              </w:tabs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5304B3" w14:textId="77777777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Producent musi dostarczyć usługę w postaci portalu WWW lub dodatkowego oprogramowania umożliwiającą następujące funkcjonalności:</w:t>
            </w:r>
          </w:p>
          <w:p w14:paraId="0CE841D7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Narzędzie do tworzenia procedury aktualizacji oprogramowania macierzowego. </w:t>
            </w:r>
          </w:p>
          <w:p w14:paraId="45327D7E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opierać się na aktualnych danych pochodzących z macierzy oraz najlepszych praktykach producenta.</w:t>
            </w:r>
          </w:p>
          <w:p w14:paraId="3D0520F1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uwzględniać systemy zależne np. macierze replikujące.</w:t>
            </w:r>
          </w:p>
          <w:p w14:paraId="08CD930C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umożliwiać generowanie planu cofnięcia aktualizacji.</w:t>
            </w:r>
          </w:p>
          <w:p w14:paraId="518EF080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Wyświetlanie statystyk dotyczących wydajności, utylizacji, oszczędności uzyskanych dzięki funkcjonalnościom macierzy.</w:t>
            </w:r>
          </w:p>
          <w:p w14:paraId="73AD40BA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Wyświetlanie konfiguracji macierzy oraz porównywanie jej z najlepszymi praktykami producenta w celu usunięcia błędów konfiguracji.</w:t>
            </w:r>
          </w:p>
          <w:p w14:paraId="589924CB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automatycznego i proaktywnego wsparcia dla macierzy z użyciem sztucznej inteligencji.</w:t>
            </w:r>
          </w:p>
          <w:p w14:paraId="315A48A1" w14:textId="6124A5DA" w:rsidR="005A5C6F" w:rsidRPr="00FE1609" w:rsidRDefault="005A5C6F" w:rsidP="00FE1609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Portal lub oprogramowanie może pochodzić od innego producenta niż producent macierzy pod warunkiem, iż zostanie dostarczona odpowiednia licencja do maksymalnej pojemności macierzy.</w:t>
            </w:r>
          </w:p>
        </w:tc>
        <w:tc>
          <w:tcPr>
            <w:tcW w:w="3491" w:type="dxa"/>
          </w:tcPr>
          <w:p w14:paraId="6A9D21E3" w14:textId="4A5DE40A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5A5C6F" w:rsidRPr="002C57E3" w14:paraId="3E6CB8E7" w14:textId="77777777" w:rsidTr="00FE1609">
        <w:trPr>
          <w:trHeight w:val="687"/>
          <w:jc w:val="center"/>
        </w:trPr>
        <w:tc>
          <w:tcPr>
            <w:tcW w:w="523" w:type="dxa"/>
            <w:vMerge/>
            <w:shd w:val="clear" w:color="auto" w:fill="auto"/>
          </w:tcPr>
          <w:p w14:paraId="5A7A95E7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BD5B6E1" w14:textId="77777777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</w:tcPr>
          <w:p w14:paraId="48701EA5" w14:textId="77777777" w:rsidR="005A5C6F" w:rsidRPr="00FE1609" w:rsidRDefault="005A5C6F" w:rsidP="005A5C6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0D5A829" w14:textId="105487A5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posiada macierze NetApp FAS8200, FAS8020 oraz FAS2750, dostarczony system musi pozwalać na zestawienie replikacji macierzowej poprzez natywny mechanizm z posiadanymi ww. systemami.</w:t>
            </w:r>
          </w:p>
        </w:tc>
        <w:tc>
          <w:tcPr>
            <w:tcW w:w="3491" w:type="dxa"/>
          </w:tcPr>
          <w:p w14:paraId="5FA0FF3D" w14:textId="7E99C228" w:rsidR="005A5C6F" w:rsidRPr="00FE1609" w:rsidRDefault="005A5C6F" w:rsidP="005A5C6F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5CED518B" w14:textId="292A002C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0E5E243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E25F017" w14:textId="350CF8C8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dodatkowe</w:t>
            </w:r>
          </w:p>
        </w:tc>
        <w:tc>
          <w:tcPr>
            <w:tcW w:w="4733" w:type="dxa"/>
          </w:tcPr>
          <w:p w14:paraId="707894B2" w14:textId="4DB0D2BE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wymaga, iż powyższy system będzie współpracował z posiadanymi przez Zamawiającego dwoma przełącznikami SAN Dell DS-6610B. W zestawie niezbędne okablowane (m.in. patchcordy FC) oraz zainstalowane w każdym kontrolerze cztery moduły (wkładki) 32 Gb FC MM SFP+ umożliwiające komunikację z modułami (wkładkami) zainstalowanymi w ww. przełącznikach SAN.</w:t>
            </w:r>
          </w:p>
        </w:tc>
        <w:tc>
          <w:tcPr>
            <w:tcW w:w="3491" w:type="dxa"/>
          </w:tcPr>
          <w:p w14:paraId="4B555161" w14:textId="5AD279D8" w:rsidR="005A5C6F" w:rsidRPr="00FE1609" w:rsidRDefault="005A5C6F" w:rsidP="00FE16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5C72813D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68C0AB36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27514A7" w14:textId="1391A4CF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Gwarancja i serwis </w:t>
            </w:r>
          </w:p>
        </w:tc>
        <w:tc>
          <w:tcPr>
            <w:tcW w:w="4733" w:type="dxa"/>
            <w:shd w:val="clear" w:color="auto" w:fill="auto"/>
          </w:tcPr>
          <w:p w14:paraId="556C4E3F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36 miesięcy gwarancji oraz serwisu, zapewniając naprawę lub dostawę podzespołu zapasowego na następny dzień roboczy. Dostarczony serwis musi umożliwiać zgłaszanie awarii w trybie 24x7. W przypadku awarii krytycznej, serwis zapewni odpowiedź na zgłoszenie do 2 godzin od zgłoszenia. Serwis urządzeń musi być realizowany zgodnie z zaleceniami gwarancyjnymi producenta. Serwis nie może spowodować unieważnienia gwarancji. Serwis musi być wykonywany w miejscu instalacji sprzętu.</w:t>
            </w:r>
          </w:p>
          <w:p w14:paraId="3702B7CE" w14:textId="77777777" w:rsidR="005A5C6F" w:rsidRPr="00FE1609" w:rsidRDefault="005A5C6F" w:rsidP="005A5C6F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Dostarczony system musi posiadać również 36 miesięcy subskrypcji dla dostarczonego wraz z macierzą oprogramowania, dostęp do portalu serwisowego producenta, dostęp do wiedzy i informacji technicznych dotyczących oferowanego urządzenia.</w:t>
            </w:r>
          </w:p>
          <w:p w14:paraId="7E522968" w14:textId="77777777" w:rsidR="005A5C6F" w:rsidRPr="00FE1609" w:rsidRDefault="005A5C6F" w:rsidP="005A5C6F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pochodzić z autoryzowanego kanału dystrybucji producenta i być objęta serwisem producenta na terenie Polski oraz nie będzie wersją OEM.</w:t>
            </w:r>
          </w:p>
          <w:p w14:paraId="20A622F0" w14:textId="310B773D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całym okresie gwarancji uszkodzone dyski pozostają własnością Zamawiającego.</w:t>
            </w:r>
          </w:p>
        </w:tc>
        <w:tc>
          <w:tcPr>
            <w:tcW w:w="3491" w:type="dxa"/>
            <w:shd w:val="clear" w:color="auto" w:fill="auto"/>
          </w:tcPr>
          <w:p w14:paraId="2097039E" w14:textId="52DADE08" w:rsidR="005A5C6F" w:rsidRPr="00FE1609" w:rsidRDefault="005A5C6F" w:rsidP="005A5C6F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bookmarkEnd w:id="0"/>
    <w:p w14:paraId="4B39CFBC" w14:textId="1E56F2AF" w:rsidR="009B635C" w:rsidRPr="000E41E9" w:rsidRDefault="000E41E9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0E41E9">
        <w:rPr>
          <w:rFonts w:ascii="Tahoma" w:eastAsia="Calibri" w:hAnsi="Tahoma" w:cs="Tahoma"/>
          <w:b/>
          <w:bCs/>
          <w:sz w:val="20"/>
          <w:szCs w:val="20"/>
        </w:rPr>
        <w:t>* niepotrzebne skreślić</w:t>
      </w:r>
    </w:p>
    <w:p w14:paraId="6CC53018" w14:textId="77777777" w:rsidR="00EC40FC" w:rsidRDefault="00EC40FC">
      <w:pPr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br w:type="page"/>
      </w:r>
    </w:p>
    <w:p w14:paraId="299E0860" w14:textId="3DE3F1EF" w:rsidR="00EC40FC" w:rsidRPr="00F84F1D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 xml:space="preserve">Dla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2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2EB40672" w14:textId="77777777" w:rsidR="00EC40FC" w:rsidRDefault="00EC40FC" w:rsidP="00EC40FC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TABELA NR 2.A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EC40FC" w14:paraId="0F18C039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66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5FB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594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80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EC40FC" w14:paraId="44027849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FB7" w14:textId="77777777" w:rsidR="00EC40FC" w:rsidRDefault="00EC40FC" w:rsidP="0061030E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C47B" w14:textId="4CA584F5" w:rsidR="00EC40FC" w:rsidRDefault="00EC40FC" w:rsidP="0061030E">
            <w:pPr>
              <w:rPr>
                <w:rFonts w:ascii="Tahoma" w:hAnsi="Tahoma" w:cs="Tahoma"/>
                <w:sz w:val="20"/>
                <w:szCs w:val="20"/>
              </w:rPr>
            </w:pPr>
            <w:r w:rsidRPr="00EC40FC">
              <w:rPr>
                <w:rFonts w:ascii="Tahoma" w:hAnsi="Tahoma" w:cs="Tahoma"/>
                <w:sz w:val="20"/>
                <w:szCs w:val="20"/>
              </w:rPr>
              <w:t>Jednostka dyskowa z nośnikami i z kartą rozszerzeń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D31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A0B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DCD5C84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A62FF2F" w14:textId="77777777" w:rsidR="00EC40FC" w:rsidRDefault="00EC40FC" w:rsidP="00EC40F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02E46FA4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109B9796" w14:textId="77777777" w:rsidR="00EC40FC" w:rsidRDefault="00EC40FC" w:rsidP="00EC40FC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TABELA NR 2.B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EC40FC" w14:paraId="06F778DF" w14:textId="77777777" w:rsidTr="0061030E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10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87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4F7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EF6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65656A60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EAED4AA" w14:textId="41AAA00B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1 </w:t>
            </w:r>
            <w:r w:rsidR="0087348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zestaw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E43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9798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5FC59874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A768C1B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C3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544C1CBE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EC40FC" w14:paraId="63893596" w14:textId="77777777" w:rsidTr="0061030E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C04D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3A25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4DB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7E9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CB1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EF78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BEB0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EC40FC" w14:paraId="2900B413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88E" w14:textId="77777777" w:rsidR="00EC40FC" w:rsidRDefault="00EC40FC" w:rsidP="0061030E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49FE" w14:textId="6EDFE634" w:rsidR="00EC40FC" w:rsidRDefault="00EC40FC" w:rsidP="0061030E">
            <w:pPr>
              <w:rPr>
                <w:rFonts w:ascii="Tahoma" w:hAnsi="Tahoma" w:cs="Tahoma"/>
                <w:sz w:val="20"/>
                <w:szCs w:val="20"/>
              </w:rPr>
            </w:pPr>
            <w:r w:rsidRPr="00EC40FC">
              <w:rPr>
                <w:rFonts w:ascii="Tahoma" w:hAnsi="Tahoma" w:cs="Tahoma"/>
                <w:sz w:val="20"/>
                <w:szCs w:val="20"/>
              </w:rPr>
              <w:t>Jednostka dyskowa z nośnikami i z kartą rozszerzeń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56EA" w14:textId="4D70EB14" w:rsidR="00EC40FC" w:rsidRDefault="00EC40FC" w:rsidP="0061030E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zestaw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6FB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8F6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DAC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430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EC40FC" w14:paraId="6B455B23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031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F9F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CF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04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7C0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011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4F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EC630C5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449D47F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4F6A11A9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33344E3F" w14:textId="77777777" w:rsidR="00EC40FC" w:rsidRDefault="00EC40FC" w:rsidP="00EC40FC">
      <w:pPr>
        <w:rPr>
          <w:rFonts w:ascii="Tahoma" w:hAnsi="Tahoma" w:cs="Tahoma"/>
        </w:rPr>
      </w:pPr>
    </w:p>
    <w:p w14:paraId="78AA9628" w14:textId="59D8D8F3" w:rsidR="00EC40FC" w:rsidRDefault="00EC40FC" w:rsidP="00EC40FC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KRYTERIUM NR 2 –</w:t>
      </w:r>
      <w:r w:rsidR="005D0F4B">
        <w:rPr>
          <w:rFonts w:ascii="Tahoma" w:hAnsi="Tahoma" w:cs="Tahoma"/>
          <w:b/>
          <w:u w:val="single"/>
        </w:rPr>
        <w:t xml:space="preserve"> </w:t>
      </w:r>
      <w:r w:rsidR="005D0F4B" w:rsidRPr="005D0F4B">
        <w:rPr>
          <w:rFonts w:ascii="Tahoma" w:hAnsi="Tahoma" w:cs="Tahoma"/>
          <w:b/>
          <w:u w:val="single"/>
        </w:rPr>
        <w:t>POJEMNOŚĆ ZAINSTALOWANEGO NOŚNIKA</w:t>
      </w:r>
    </w:p>
    <w:p w14:paraId="47882A98" w14:textId="77777777" w:rsidR="00626D42" w:rsidRDefault="00626D42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73BE67" w14:textId="149190EC" w:rsidR="00EC40FC" w:rsidRDefault="005D0F4B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5D0F4B">
        <w:rPr>
          <w:rFonts w:ascii="Tahoma" w:hAnsi="Tahoma" w:cs="Tahoma"/>
          <w:sz w:val="20"/>
          <w:szCs w:val="20"/>
        </w:rPr>
        <w:t xml:space="preserve">ośniki w jednostce dyskowej o pojemności </w:t>
      </w:r>
      <w:r w:rsidR="00F20ECF">
        <w:rPr>
          <w:rFonts w:ascii="Tahoma" w:hAnsi="Tahoma" w:cs="Tahoma"/>
          <w:sz w:val="20"/>
          <w:szCs w:val="20"/>
        </w:rPr>
        <w:t xml:space="preserve">co najmniej </w:t>
      </w:r>
      <w:r w:rsidRPr="005D0F4B">
        <w:rPr>
          <w:rFonts w:ascii="Tahoma" w:hAnsi="Tahoma" w:cs="Tahoma"/>
          <w:sz w:val="20"/>
          <w:szCs w:val="20"/>
        </w:rPr>
        <w:t>16 TB</w:t>
      </w:r>
      <w:r>
        <w:rPr>
          <w:rFonts w:ascii="Tahoma" w:hAnsi="Tahoma" w:cs="Tahoma"/>
          <w:sz w:val="20"/>
          <w:szCs w:val="20"/>
        </w:rPr>
        <w:t xml:space="preserve">: </w:t>
      </w:r>
      <w:r w:rsidRPr="00F20ECF">
        <w:rPr>
          <w:rFonts w:ascii="Tahoma" w:hAnsi="Tahoma" w:cs="Tahoma"/>
          <w:b/>
          <w:sz w:val="20"/>
          <w:szCs w:val="20"/>
        </w:rPr>
        <w:t>spełnia/nie spełnia *</w:t>
      </w:r>
    </w:p>
    <w:p w14:paraId="3162D412" w14:textId="4DD6D472" w:rsidR="00626D42" w:rsidRDefault="00626D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45A10157" w14:textId="77777777" w:rsidR="00BE3417" w:rsidRDefault="00BE3417" w:rsidP="00CD4A97">
      <w:pPr>
        <w:rPr>
          <w:rFonts w:ascii="Tahoma" w:hAnsi="Tahoma" w:cs="Tahoma"/>
          <w:b/>
          <w:sz w:val="20"/>
          <w:szCs w:val="20"/>
        </w:rPr>
      </w:pPr>
    </w:p>
    <w:p w14:paraId="763C2769" w14:textId="6CF2959F" w:rsidR="00EC40FC" w:rsidRPr="00FE1609" w:rsidRDefault="00EC40FC" w:rsidP="00FE1609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 xml:space="preserve">Dane techniczne oferowanej </w:t>
      </w:r>
      <w:r w:rsidR="00CD4A97">
        <w:rPr>
          <w:rFonts w:ascii="Tahoma" w:hAnsi="Tahoma" w:cs="Tahoma"/>
          <w:b/>
          <w:sz w:val="20"/>
          <w:szCs w:val="20"/>
        </w:rPr>
        <w:t>j</w:t>
      </w:r>
      <w:r w:rsidR="00CD4A97" w:rsidRPr="00CD4A97">
        <w:rPr>
          <w:rFonts w:ascii="Tahoma" w:hAnsi="Tahoma" w:cs="Tahoma"/>
          <w:b/>
          <w:sz w:val="20"/>
          <w:szCs w:val="20"/>
        </w:rPr>
        <w:t>ednostk</w:t>
      </w:r>
      <w:r w:rsidR="00CD4A97">
        <w:rPr>
          <w:rFonts w:ascii="Tahoma" w:hAnsi="Tahoma" w:cs="Tahoma"/>
          <w:b/>
          <w:sz w:val="20"/>
          <w:szCs w:val="20"/>
        </w:rPr>
        <w:t>i</w:t>
      </w:r>
      <w:r w:rsidR="00CD4A97" w:rsidRPr="00CD4A97">
        <w:rPr>
          <w:rFonts w:ascii="Tahoma" w:hAnsi="Tahoma" w:cs="Tahoma"/>
          <w:b/>
          <w:sz w:val="20"/>
          <w:szCs w:val="20"/>
        </w:rPr>
        <w:t xml:space="preserve"> dyskow</w:t>
      </w:r>
      <w:r w:rsidR="00CD4A97">
        <w:rPr>
          <w:rFonts w:ascii="Tahoma" w:hAnsi="Tahoma" w:cs="Tahoma"/>
          <w:b/>
          <w:sz w:val="20"/>
          <w:szCs w:val="20"/>
        </w:rPr>
        <w:t>ej</w:t>
      </w:r>
      <w:r w:rsidR="00CD4A97" w:rsidRPr="00CD4A97">
        <w:rPr>
          <w:rFonts w:ascii="Tahoma" w:hAnsi="Tahoma" w:cs="Tahoma"/>
          <w:b/>
          <w:sz w:val="20"/>
          <w:szCs w:val="20"/>
        </w:rPr>
        <w:t xml:space="preserve"> z nośnikami i z kartą rozszerzeń</w:t>
      </w:r>
      <w:r w:rsidR="00CD4A97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EC40FC" w:rsidRPr="00506FE5" w14:paraId="7F51D525" w14:textId="77777777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47B8455C" w14:textId="77777777" w:rsidR="00EC40FC" w:rsidRPr="00506FE5" w:rsidRDefault="00EC40FC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0349AA60" w14:textId="77777777" w:rsidR="00EC40FC" w:rsidRPr="00506FE5" w:rsidRDefault="00EC40FC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3C19D115" w14:textId="77777777" w:rsidR="00EC40FC" w:rsidRPr="00506FE5" w:rsidRDefault="00EC40FC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4576F2EA" w14:textId="77777777" w:rsidR="00EC40FC" w:rsidRPr="00506FE5" w:rsidRDefault="00EC40FC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EC40FC" w:rsidRPr="00506FE5" w14:paraId="42D7B604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16AD9FE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B3987F6" w14:textId="4E91D321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 i kompatybilność</w:t>
            </w:r>
          </w:p>
        </w:tc>
        <w:tc>
          <w:tcPr>
            <w:tcW w:w="4733" w:type="dxa"/>
          </w:tcPr>
          <w:p w14:paraId="6921EC64" w14:textId="5AD3FD32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Dedykowana jednostka rozszerzająca serwer plików w posiadaniu Zamawiającego: Synology RS18017xs+</w:t>
            </w:r>
            <w:r w:rsidR="00506FE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91" w:type="dxa"/>
          </w:tcPr>
          <w:p w14:paraId="55769FA7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560CE77C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86E83F4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2C912EF" w14:textId="5CE54B59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obudowy i elementy montażu</w:t>
            </w:r>
          </w:p>
        </w:tc>
        <w:tc>
          <w:tcPr>
            <w:tcW w:w="4733" w:type="dxa"/>
            <w:shd w:val="clear" w:color="auto" w:fill="auto"/>
          </w:tcPr>
          <w:p w14:paraId="6381DD47" w14:textId="63887949" w:rsidR="00EC40FC" w:rsidRPr="00506FE5" w:rsidRDefault="00EC40FC" w:rsidP="00EC40FC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Obudowa o wysokości maksymalnie 2U, przystosowana do zamontowania w szafie rack 19”. Dostarczona jednostka dyskowa musi posiadać wszelkie elementy do montażu. Do zestawu muszą być dołączone dedykowane szyny do mocowania w szafie rack pozwalające na wysuwanie urządzenia do celów serwisowych oraz niezbędne okablowanie (zasilanie oraz kabel rozszerzenia typu Mini-SAS HD).</w:t>
            </w:r>
          </w:p>
        </w:tc>
        <w:tc>
          <w:tcPr>
            <w:tcW w:w="3491" w:type="dxa"/>
          </w:tcPr>
          <w:p w14:paraId="0812D89E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092814F4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81961D4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0CADD6E" w14:textId="05A1CB33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Wnęki na dyski twarde</w:t>
            </w:r>
          </w:p>
        </w:tc>
        <w:tc>
          <w:tcPr>
            <w:tcW w:w="4733" w:type="dxa"/>
          </w:tcPr>
          <w:p w14:paraId="77BF33F3" w14:textId="2AFD29A9" w:rsidR="00EC40FC" w:rsidRPr="00506FE5" w:rsidRDefault="00EC40FC" w:rsidP="00EC40FC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instalacji minimum 12 dysków twardych wielkości 3,5 cala (lub 2,5 cala z użyciem dedykowanych kieszeni dyskowych). Jednostka musi zawierać pełną klatkę na dyski twarde na przód obudowy wraz z niezbędnymi elementami pozwalającymi na obsługę wszystkich dysków twardych.</w:t>
            </w:r>
          </w:p>
        </w:tc>
        <w:tc>
          <w:tcPr>
            <w:tcW w:w="3491" w:type="dxa"/>
          </w:tcPr>
          <w:p w14:paraId="7D38DAA0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4B61F89F" w14:textId="77777777" w:rsidTr="00FE1609">
        <w:trPr>
          <w:trHeight w:val="143"/>
          <w:jc w:val="center"/>
        </w:trPr>
        <w:tc>
          <w:tcPr>
            <w:tcW w:w="523" w:type="dxa"/>
            <w:shd w:val="clear" w:color="auto" w:fill="auto"/>
          </w:tcPr>
          <w:p w14:paraId="61B88C9C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FF730CF" w14:textId="4D3412D5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Porty zewnętrzne</w:t>
            </w:r>
          </w:p>
        </w:tc>
        <w:tc>
          <w:tcPr>
            <w:tcW w:w="4733" w:type="dxa"/>
          </w:tcPr>
          <w:p w14:paraId="61C3586F" w14:textId="77777777" w:rsidR="00EC40FC" w:rsidRPr="00FE1609" w:rsidRDefault="00EC40FC" w:rsidP="00EC40FC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 tyłu obudowy muszą się znaleźć porty:</w:t>
            </w:r>
          </w:p>
          <w:p w14:paraId="1E24791C" w14:textId="77777777" w:rsidR="00EC40FC" w:rsidRPr="00FE1609" w:rsidRDefault="00EC40FC" w:rsidP="00EC40FC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1 porty SAS typu wejściowego (IN),</w:t>
            </w:r>
          </w:p>
          <w:p w14:paraId="7846F864" w14:textId="77777777" w:rsidR="00EC40FC" w:rsidRPr="00FE1609" w:rsidRDefault="00EC40FC" w:rsidP="00EC40FC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1 porty SAS typu wyjściowego (OUT).</w:t>
            </w:r>
          </w:p>
          <w:p w14:paraId="61CA190E" w14:textId="55B410A2" w:rsidR="00EC40FC" w:rsidRPr="00FE1609" w:rsidRDefault="00EC40FC" w:rsidP="00FE1609">
            <w:pPr>
              <w:spacing w:before="40" w:after="4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Dedykowany wskaźnik identyfikacyjny jednostki rozszerzającej.</w:t>
            </w:r>
          </w:p>
        </w:tc>
        <w:tc>
          <w:tcPr>
            <w:tcW w:w="3491" w:type="dxa"/>
          </w:tcPr>
          <w:p w14:paraId="21300CA6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343667D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88BCE12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66D4800" w14:textId="77EEFDE0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Zasilanie serwera</w:t>
            </w:r>
          </w:p>
        </w:tc>
        <w:tc>
          <w:tcPr>
            <w:tcW w:w="4733" w:type="dxa"/>
          </w:tcPr>
          <w:p w14:paraId="5970226E" w14:textId="268E7137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Dostarczona jednostka musi posiadać dwa zasilacze w trybie pełnej redundancji z możliwością wymiany zasilacza na gorąco.</w:t>
            </w:r>
          </w:p>
        </w:tc>
        <w:tc>
          <w:tcPr>
            <w:tcW w:w="3491" w:type="dxa"/>
          </w:tcPr>
          <w:p w14:paraId="3DE5CEAC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1CFE02E7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263B58C9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DC9E625" w14:textId="419A01C1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wentylacji</w:t>
            </w:r>
          </w:p>
        </w:tc>
        <w:tc>
          <w:tcPr>
            <w:tcW w:w="4733" w:type="dxa"/>
          </w:tcPr>
          <w:p w14:paraId="558EEC16" w14:textId="4C421A7C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Wymiana na gorąco podczas pracy serwera, bez użycia narzędzi.</w:t>
            </w:r>
          </w:p>
        </w:tc>
        <w:tc>
          <w:tcPr>
            <w:tcW w:w="3491" w:type="dxa"/>
          </w:tcPr>
          <w:p w14:paraId="6703EF3E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0368581E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57C2288A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E9A210E" w14:textId="1EFEEAEE" w:rsidR="00EC40FC" w:rsidRPr="00506FE5" w:rsidRDefault="00EC40FC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Wentylatory</w:t>
            </w:r>
          </w:p>
        </w:tc>
        <w:tc>
          <w:tcPr>
            <w:tcW w:w="4733" w:type="dxa"/>
            <w:shd w:val="clear" w:color="auto" w:fill="auto"/>
          </w:tcPr>
          <w:p w14:paraId="49133B73" w14:textId="348764CF" w:rsidR="00EC40FC" w:rsidRPr="00506FE5" w:rsidRDefault="00EC40FC" w:rsidP="00EC40FC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4 zainstalowane wentylatory.</w:t>
            </w:r>
          </w:p>
        </w:tc>
        <w:tc>
          <w:tcPr>
            <w:tcW w:w="3491" w:type="dxa"/>
            <w:shd w:val="clear" w:color="auto" w:fill="auto"/>
          </w:tcPr>
          <w:p w14:paraId="01DC81B3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2D53583E" w14:textId="77777777" w:rsidTr="00FE1609">
        <w:trPr>
          <w:trHeight w:val="247"/>
          <w:jc w:val="center"/>
        </w:trPr>
        <w:tc>
          <w:tcPr>
            <w:tcW w:w="523" w:type="dxa"/>
            <w:shd w:val="clear" w:color="auto" w:fill="auto"/>
          </w:tcPr>
          <w:p w14:paraId="0C46DC19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</w:tcPr>
          <w:p w14:paraId="1152B76C" w14:textId="31A48BA7" w:rsidR="00EC40FC" w:rsidRPr="00FE1609" w:rsidRDefault="00EC40FC" w:rsidP="00FE1609">
            <w:pPr>
              <w:ind w:right="13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Zainstalowane nośniki w jednostce dyskowej</w:t>
            </w:r>
          </w:p>
        </w:tc>
      </w:tr>
      <w:tr w:rsidR="00506FE5" w:rsidRPr="00506FE5" w14:paraId="4EE92A32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716D0A3A" w14:textId="77777777" w:rsidR="00506FE5" w:rsidRPr="00506FE5" w:rsidRDefault="00506FE5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F2E4CC0" w14:textId="4554F47A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Sumaryczna ilość dysków</w:t>
            </w:r>
          </w:p>
        </w:tc>
        <w:tc>
          <w:tcPr>
            <w:tcW w:w="4733" w:type="dxa"/>
          </w:tcPr>
          <w:p w14:paraId="6733C63B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8 dysków twardych wielkości 3,5 cala klasy enterprise.</w:t>
            </w:r>
          </w:p>
          <w:p w14:paraId="4848C470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dyski muszą być obsługiwane przez jednostkę dyskową i współdziałającej z serwerem plików, zgodnie z wytycznymi firmy Synology:</w:t>
            </w:r>
          </w:p>
          <w:p w14:paraId="2E43615B" w14:textId="2AA4D1F5" w:rsidR="00506FE5" w:rsidRPr="00506FE5" w:rsidRDefault="00506FE5" w:rsidP="00506F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https://www.synology.com/pl-pl/compatibility.</w:t>
            </w:r>
          </w:p>
        </w:tc>
        <w:tc>
          <w:tcPr>
            <w:tcW w:w="3491" w:type="dxa"/>
          </w:tcPr>
          <w:p w14:paraId="69FAA06B" w14:textId="160409F9" w:rsidR="00506FE5" w:rsidRPr="00506FE5" w:rsidRDefault="00506F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1FAB8BF" w14:textId="77777777" w:rsidTr="00FE1609">
        <w:tblPrEx>
          <w:jc w:val="left"/>
        </w:tblPrEx>
        <w:trPr>
          <w:trHeight w:val="343"/>
        </w:trPr>
        <w:tc>
          <w:tcPr>
            <w:tcW w:w="523" w:type="dxa"/>
            <w:shd w:val="clear" w:color="auto" w:fill="auto"/>
          </w:tcPr>
          <w:p w14:paraId="6204ADA2" w14:textId="77777777" w:rsidR="00506FE5" w:rsidRPr="00506FE5" w:rsidRDefault="00506FE5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8860826" w14:textId="1017729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Stan</w:t>
            </w:r>
          </w:p>
        </w:tc>
        <w:tc>
          <w:tcPr>
            <w:tcW w:w="4733" w:type="dxa"/>
            <w:shd w:val="clear" w:color="auto" w:fill="auto"/>
          </w:tcPr>
          <w:p w14:paraId="03137D2A" w14:textId="6E946C89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Fabrycznie nowe, wyprodukowane nie wcześniej niż 6 miesięcy przed dostawą i nieużywane przed dniem dostarczenia. Muszą pochodzić z oficjalnego kanału sprzedaży producenta na rynek polski.</w:t>
            </w:r>
          </w:p>
        </w:tc>
        <w:tc>
          <w:tcPr>
            <w:tcW w:w="3491" w:type="dxa"/>
            <w:shd w:val="clear" w:color="auto" w:fill="auto"/>
          </w:tcPr>
          <w:p w14:paraId="1DB55E98" w14:textId="5C4C2516" w:rsidR="00506FE5" w:rsidRPr="00506FE5" w:rsidRDefault="00506FE5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C98787A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0BD0493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E656A39" w14:textId="4F14C7DE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nośnika</w:t>
            </w:r>
          </w:p>
        </w:tc>
        <w:tc>
          <w:tcPr>
            <w:tcW w:w="4733" w:type="dxa"/>
            <w:shd w:val="clear" w:color="auto" w:fill="auto"/>
          </w:tcPr>
          <w:p w14:paraId="33A8D90F" w14:textId="6B44727A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Magnetyczny.</w:t>
            </w:r>
          </w:p>
        </w:tc>
        <w:tc>
          <w:tcPr>
            <w:tcW w:w="3491" w:type="dxa"/>
            <w:shd w:val="clear" w:color="auto" w:fill="auto"/>
          </w:tcPr>
          <w:p w14:paraId="6F9BF1CF" w14:textId="79C34671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75BED0E" w14:textId="77777777" w:rsidTr="00FE1609">
        <w:tblPrEx>
          <w:jc w:val="left"/>
        </w:tblPrEx>
        <w:trPr>
          <w:trHeight w:val="556"/>
        </w:trPr>
        <w:tc>
          <w:tcPr>
            <w:tcW w:w="523" w:type="dxa"/>
            <w:shd w:val="clear" w:color="auto" w:fill="auto"/>
          </w:tcPr>
          <w:p w14:paraId="5F2B6EEB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14:paraId="204B23C3" w14:textId="3BE8A290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7DA7A303" w14:textId="3B00403C" w:rsidR="00506FE5" w:rsidRPr="00506FE5" w:rsidRDefault="001D3436" w:rsidP="00FE1609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 najmniej</w:t>
            </w:r>
            <w:r w:rsidR="00506FE5" w:rsidRPr="00FE1609">
              <w:rPr>
                <w:rFonts w:ascii="Tahoma" w:hAnsi="Tahoma" w:cs="Tahoma"/>
                <w:sz w:val="20"/>
                <w:szCs w:val="20"/>
              </w:rPr>
              <w:t xml:space="preserve"> 14 TB dla każdego zainstalowanego nośnika.</w:t>
            </w:r>
          </w:p>
        </w:tc>
        <w:tc>
          <w:tcPr>
            <w:tcW w:w="3491" w:type="dxa"/>
            <w:shd w:val="clear" w:color="auto" w:fill="auto"/>
          </w:tcPr>
          <w:p w14:paraId="2325AC9E" w14:textId="1C8F50E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8A6D85D" w14:textId="77777777" w:rsidTr="00FE1609">
        <w:tblPrEx>
          <w:jc w:val="left"/>
        </w:tblPrEx>
        <w:trPr>
          <w:trHeight w:val="165"/>
        </w:trPr>
        <w:tc>
          <w:tcPr>
            <w:tcW w:w="523" w:type="dxa"/>
            <w:shd w:val="clear" w:color="auto" w:fill="auto"/>
          </w:tcPr>
          <w:p w14:paraId="3A646BA6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9828A02" w14:textId="77777777" w:rsidR="00506FE5" w:rsidRPr="00506FE5" w:rsidRDefault="00506FE5" w:rsidP="00506F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38314608" w14:textId="77777777" w:rsidR="00506FE5" w:rsidRPr="0061030E" w:rsidRDefault="00506FE5" w:rsidP="00506FE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030E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5FF54C3C" w14:textId="6A4D6D6D" w:rsidR="00506FE5" w:rsidRPr="00506FE5" w:rsidRDefault="00152C92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 najmniej</w:t>
            </w:r>
            <w:r w:rsidRPr="006103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6FE5" w:rsidRPr="0061030E">
              <w:rPr>
                <w:rFonts w:ascii="Tahoma" w:hAnsi="Tahoma" w:cs="Tahoma"/>
                <w:sz w:val="20"/>
                <w:szCs w:val="20"/>
              </w:rPr>
              <w:t>16 TB dla każdego zainstalowanego nośnika.</w:t>
            </w:r>
          </w:p>
        </w:tc>
        <w:tc>
          <w:tcPr>
            <w:tcW w:w="3491" w:type="dxa"/>
            <w:shd w:val="clear" w:color="auto" w:fill="auto"/>
          </w:tcPr>
          <w:p w14:paraId="607A8E02" w14:textId="3BDA423F" w:rsidR="00506FE5" w:rsidRPr="0061030E" w:rsidRDefault="00506FE5" w:rsidP="00506FE5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BCC26DC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AEE536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4038C16" w14:textId="4FA766E8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Wbudowana pamięć podręczna</w:t>
            </w:r>
          </w:p>
        </w:tc>
        <w:tc>
          <w:tcPr>
            <w:tcW w:w="4733" w:type="dxa"/>
            <w:shd w:val="clear" w:color="auto" w:fill="auto"/>
          </w:tcPr>
          <w:p w14:paraId="3721FBD6" w14:textId="6423A6B9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512 MB.</w:t>
            </w:r>
          </w:p>
        </w:tc>
        <w:tc>
          <w:tcPr>
            <w:tcW w:w="3491" w:type="dxa"/>
            <w:shd w:val="clear" w:color="auto" w:fill="auto"/>
          </w:tcPr>
          <w:p w14:paraId="2DC72466" w14:textId="609A744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C6965B1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13BF456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BD6803F" w14:textId="46BFFC3F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733" w:type="dxa"/>
            <w:shd w:val="clear" w:color="auto" w:fill="auto"/>
          </w:tcPr>
          <w:p w14:paraId="5F02C614" w14:textId="4E3CCC16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255 MB/s.</w:t>
            </w:r>
          </w:p>
        </w:tc>
        <w:tc>
          <w:tcPr>
            <w:tcW w:w="3491" w:type="dxa"/>
            <w:shd w:val="clear" w:color="auto" w:fill="auto"/>
          </w:tcPr>
          <w:p w14:paraId="0875DB44" w14:textId="206CE7F2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79B7C76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54455B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999CB7D" w14:textId="0D6E419C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</w:t>
            </w:r>
          </w:p>
        </w:tc>
        <w:tc>
          <w:tcPr>
            <w:tcW w:w="4733" w:type="dxa"/>
            <w:shd w:val="clear" w:color="auto" w:fill="auto"/>
          </w:tcPr>
          <w:p w14:paraId="2C204B1C" w14:textId="59D7BA70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 6G (trzeciej generacji).</w:t>
            </w:r>
          </w:p>
        </w:tc>
        <w:tc>
          <w:tcPr>
            <w:tcW w:w="3491" w:type="dxa"/>
            <w:shd w:val="clear" w:color="auto" w:fill="auto"/>
          </w:tcPr>
          <w:p w14:paraId="6DEE3CB2" w14:textId="0D0B0250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C6203AB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597A77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6019585" w14:textId="44184071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</w:t>
            </w:r>
          </w:p>
        </w:tc>
        <w:tc>
          <w:tcPr>
            <w:tcW w:w="4733" w:type="dxa"/>
            <w:shd w:val="clear" w:color="auto" w:fill="auto"/>
          </w:tcPr>
          <w:p w14:paraId="75D1D5BF" w14:textId="716CFC26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wkładania i wyciągania dysku na gorąco w trakcie pracy.</w:t>
            </w:r>
          </w:p>
        </w:tc>
        <w:tc>
          <w:tcPr>
            <w:tcW w:w="3491" w:type="dxa"/>
            <w:shd w:val="clear" w:color="auto" w:fill="auto"/>
          </w:tcPr>
          <w:p w14:paraId="0E01F6B4" w14:textId="7A6470E7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407FCC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1D62A23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01B70CF" w14:textId="7D123A7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Prędkość obrotowa talerzy</w:t>
            </w:r>
          </w:p>
        </w:tc>
        <w:tc>
          <w:tcPr>
            <w:tcW w:w="4733" w:type="dxa"/>
            <w:shd w:val="clear" w:color="auto" w:fill="auto"/>
          </w:tcPr>
          <w:p w14:paraId="77C384D8" w14:textId="3F5A8A7A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Co najmniej 7,2 tysiące obrotów na minutę.</w:t>
            </w:r>
          </w:p>
        </w:tc>
        <w:tc>
          <w:tcPr>
            <w:tcW w:w="3491" w:type="dxa"/>
            <w:shd w:val="clear" w:color="auto" w:fill="auto"/>
          </w:tcPr>
          <w:p w14:paraId="22CC55E5" w14:textId="7A4C56C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32B3B4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97A5740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F7F45A9" w14:textId="77777777" w:rsidR="00506FE5" w:rsidRPr="00FE1609" w:rsidRDefault="00506FE5">
            <w:pPr>
              <w:spacing w:line="259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Cykle ładowania/</w:t>
            </w:r>
          </w:p>
          <w:p w14:paraId="6572300D" w14:textId="20A027F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rozładowania</w:t>
            </w:r>
          </w:p>
        </w:tc>
        <w:tc>
          <w:tcPr>
            <w:tcW w:w="4733" w:type="dxa"/>
            <w:shd w:val="clear" w:color="auto" w:fill="auto"/>
          </w:tcPr>
          <w:p w14:paraId="68AA6206" w14:textId="3B2A9BE1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580 000 cykli.</w:t>
            </w:r>
          </w:p>
        </w:tc>
        <w:tc>
          <w:tcPr>
            <w:tcW w:w="3491" w:type="dxa"/>
            <w:shd w:val="clear" w:color="auto" w:fill="auto"/>
          </w:tcPr>
          <w:p w14:paraId="6B7F7152" w14:textId="5DAB3E01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EB81693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D067741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C19BA53" w14:textId="6CAADC74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Nominalny czas pracy</w:t>
            </w:r>
          </w:p>
        </w:tc>
        <w:tc>
          <w:tcPr>
            <w:tcW w:w="4733" w:type="dxa"/>
            <w:shd w:val="clear" w:color="auto" w:fill="auto"/>
          </w:tcPr>
          <w:p w14:paraId="320DE775" w14:textId="71D8468C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2 500 000 godzin.</w:t>
            </w:r>
          </w:p>
        </w:tc>
        <w:tc>
          <w:tcPr>
            <w:tcW w:w="3491" w:type="dxa"/>
            <w:shd w:val="clear" w:color="auto" w:fill="auto"/>
          </w:tcPr>
          <w:p w14:paraId="5A753D28" w14:textId="0D76A17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2417286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4B48E75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6E0B48D" w14:textId="1117652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Sumaryczna ilość dysków</w:t>
            </w:r>
          </w:p>
        </w:tc>
        <w:tc>
          <w:tcPr>
            <w:tcW w:w="4733" w:type="dxa"/>
            <w:shd w:val="clear" w:color="auto" w:fill="auto"/>
          </w:tcPr>
          <w:p w14:paraId="4990E349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8 dysków twardych wielkości 3,5 cala klasy enterprise.</w:t>
            </w:r>
          </w:p>
          <w:p w14:paraId="566C37FE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dyski muszą być obsługiwane przez jednostkę dyskową i współdziałającej z serwerem plików, zgodnie z wytycznymi firmy Synology:</w:t>
            </w:r>
          </w:p>
          <w:p w14:paraId="357B4FED" w14:textId="10ACE843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https://www.synology.com/pl-pl/compatibility.</w:t>
            </w:r>
          </w:p>
        </w:tc>
        <w:tc>
          <w:tcPr>
            <w:tcW w:w="3491" w:type="dxa"/>
            <w:shd w:val="clear" w:color="auto" w:fill="auto"/>
          </w:tcPr>
          <w:p w14:paraId="56B6149B" w14:textId="1B1D9B7E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23B06A1" w14:textId="77777777" w:rsidTr="00FE1609">
        <w:tblPrEx>
          <w:jc w:val="left"/>
        </w:tblPrEx>
        <w:trPr>
          <w:trHeight w:val="229"/>
        </w:trPr>
        <w:tc>
          <w:tcPr>
            <w:tcW w:w="523" w:type="dxa"/>
            <w:shd w:val="clear" w:color="auto" w:fill="auto"/>
          </w:tcPr>
          <w:p w14:paraId="2F4F2E2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6AD40119" w14:textId="742EF2A2" w:rsidR="00506FE5" w:rsidRPr="00506FE5" w:rsidRDefault="00506FE5">
            <w:pPr>
              <w:ind w:left="11" w:right="130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Dodatkowe warunki spełniające dla zestawu (jednostki z nośnikami)</w:t>
            </w:r>
          </w:p>
        </w:tc>
      </w:tr>
      <w:tr w:rsidR="00506FE5" w:rsidRPr="00506FE5" w14:paraId="47841681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C81CEC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AE6CF15" w14:textId="1AD2453C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Pochodzenie</w:t>
            </w:r>
          </w:p>
        </w:tc>
        <w:tc>
          <w:tcPr>
            <w:tcW w:w="4733" w:type="dxa"/>
            <w:shd w:val="clear" w:color="auto" w:fill="auto"/>
          </w:tcPr>
          <w:p w14:paraId="63A33F34" w14:textId="0FB6DC5A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Zestaw jednostki z nośnikami musi być fabrycznie nowy i zamknięty. Nieużywany wcześniej w żadnych projektach, wyprodukowany nie wcześniej niż 6 miesięcy przed dostawą i nieużywane przed dniem dostarczenia.</w:t>
            </w:r>
          </w:p>
        </w:tc>
        <w:tc>
          <w:tcPr>
            <w:tcW w:w="3491" w:type="dxa"/>
            <w:shd w:val="clear" w:color="auto" w:fill="auto"/>
          </w:tcPr>
          <w:p w14:paraId="08BCA149" w14:textId="389D044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5BCDCDF" w14:textId="77777777" w:rsidTr="00FE1609">
        <w:tblPrEx>
          <w:jc w:val="left"/>
        </w:tblPrEx>
        <w:trPr>
          <w:trHeight w:val="124"/>
        </w:trPr>
        <w:tc>
          <w:tcPr>
            <w:tcW w:w="523" w:type="dxa"/>
            <w:shd w:val="clear" w:color="auto" w:fill="auto"/>
          </w:tcPr>
          <w:p w14:paraId="1AE4A81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6F00334C" w14:textId="6D1163DD" w:rsidR="00506FE5" w:rsidRPr="00506FE5" w:rsidRDefault="00506FE5">
            <w:pPr>
              <w:ind w:left="11" w:right="130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Dołączony do zestawu karta rozszerzeń M.2 SSD z nośnikami</w:t>
            </w:r>
          </w:p>
        </w:tc>
      </w:tr>
      <w:tr w:rsidR="00506FE5" w:rsidRPr="00506FE5" w14:paraId="4A3F06A8" w14:textId="77777777" w:rsidTr="00FE1609">
        <w:tblPrEx>
          <w:jc w:val="left"/>
        </w:tblPrEx>
        <w:trPr>
          <w:trHeight w:val="760"/>
        </w:trPr>
        <w:tc>
          <w:tcPr>
            <w:tcW w:w="523" w:type="dxa"/>
            <w:shd w:val="clear" w:color="auto" w:fill="auto"/>
          </w:tcPr>
          <w:p w14:paraId="0E81602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453557F" w14:textId="0C49C504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 i kompatybilność</w:t>
            </w:r>
          </w:p>
        </w:tc>
        <w:tc>
          <w:tcPr>
            <w:tcW w:w="4733" w:type="dxa"/>
            <w:shd w:val="clear" w:color="auto" w:fill="auto"/>
          </w:tcPr>
          <w:p w14:paraId="5C03B6FC" w14:textId="0517E427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Dedykowana karta współpracująca z serwerem plików w posiadaniu Zamawiającego: Synology RS18017xs+</w:t>
            </w:r>
          </w:p>
        </w:tc>
        <w:tc>
          <w:tcPr>
            <w:tcW w:w="3491" w:type="dxa"/>
            <w:shd w:val="clear" w:color="auto" w:fill="auto"/>
          </w:tcPr>
          <w:p w14:paraId="158FD730" w14:textId="5E2EC895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77664E3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32A1016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5C0BFD6" w14:textId="00985A67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 magistrali hosta</w:t>
            </w:r>
          </w:p>
        </w:tc>
        <w:tc>
          <w:tcPr>
            <w:tcW w:w="4733" w:type="dxa"/>
            <w:shd w:val="clear" w:color="auto" w:fill="auto"/>
          </w:tcPr>
          <w:p w14:paraId="2E8C5DA5" w14:textId="6FD0D7AA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PCIe 2.0 x8.</w:t>
            </w:r>
          </w:p>
        </w:tc>
        <w:tc>
          <w:tcPr>
            <w:tcW w:w="3491" w:type="dxa"/>
            <w:shd w:val="clear" w:color="auto" w:fill="auto"/>
          </w:tcPr>
          <w:p w14:paraId="59F141CE" w14:textId="43D1E4A7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2F874B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1DEE901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41B57F7" w14:textId="39EE8214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Profil karty</w:t>
            </w:r>
          </w:p>
        </w:tc>
        <w:tc>
          <w:tcPr>
            <w:tcW w:w="4733" w:type="dxa"/>
            <w:shd w:val="clear" w:color="auto" w:fill="auto"/>
          </w:tcPr>
          <w:p w14:paraId="080A77C0" w14:textId="0E011F3F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Nisko i pełnej wysokości.</w:t>
            </w:r>
          </w:p>
        </w:tc>
        <w:tc>
          <w:tcPr>
            <w:tcW w:w="3491" w:type="dxa"/>
            <w:shd w:val="clear" w:color="auto" w:fill="auto"/>
          </w:tcPr>
          <w:p w14:paraId="14A0AC23" w14:textId="663DC36A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F3B2CE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070831C4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069F27C" w14:textId="5C186F87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 pamięci masowej</w:t>
            </w:r>
          </w:p>
        </w:tc>
        <w:tc>
          <w:tcPr>
            <w:tcW w:w="4733" w:type="dxa"/>
            <w:shd w:val="clear" w:color="auto" w:fill="auto"/>
          </w:tcPr>
          <w:p w14:paraId="5B88676C" w14:textId="307B7E5D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SATA.</w:t>
            </w:r>
          </w:p>
        </w:tc>
        <w:tc>
          <w:tcPr>
            <w:tcW w:w="3491" w:type="dxa"/>
            <w:shd w:val="clear" w:color="auto" w:fill="auto"/>
          </w:tcPr>
          <w:p w14:paraId="1AF4750D" w14:textId="6A7EB729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F3766FF" w14:textId="77777777" w:rsidTr="00FE1609">
        <w:tblPrEx>
          <w:jc w:val="left"/>
        </w:tblPrEx>
        <w:trPr>
          <w:trHeight w:val="243"/>
        </w:trPr>
        <w:tc>
          <w:tcPr>
            <w:tcW w:w="523" w:type="dxa"/>
            <w:shd w:val="clear" w:color="auto" w:fill="auto"/>
          </w:tcPr>
          <w:p w14:paraId="49F2AE8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E1F4524" w14:textId="0CAB73FB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Obsługiwane obudowy</w:t>
            </w:r>
          </w:p>
        </w:tc>
        <w:tc>
          <w:tcPr>
            <w:tcW w:w="4733" w:type="dxa"/>
            <w:shd w:val="clear" w:color="auto" w:fill="auto"/>
          </w:tcPr>
          <w:p w14:paraId="10AC61D4" w14:textId="288D0E85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formaty: 2280 / 2260 / 2242.</w:t>
            </w:r>
          </w:p>
        </w:tc>
        <w:tc>
          <w:tcPr>
            <w:tcW w:w="3491" w:type="dxa"/>
            <w:shd w:val="clear" w:color="auto" w:fill="auto"/>
          </w:tcPr>
          <w:p w14:paraId="4031BD49" w14:textId="1A459130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C38DD89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C6F46E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4010376" w14:textId="4672CFD8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 i liczba złączy</w:t>
            </w:r>
          </w:p>
        </w:tc>
        <w:tc>
          <w:tcPr>
            <w:tcW w:w="4733" w:type="dxa"/>
            <w:shd w:val="clear" w:color="auto" w:fill="auto"/>
          </w:tcPr>
          <w:p w14:paraId="25EE8808" w14:textId="3D9C6EE8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M-key, 2 gniazda.</w:t>
            </w:r>
          </w:p>
        </w:tc>
        <w:tc>
          <w:tcPr>
            <w:tcW w:w="3491" w:type="dxa"/>
            <w:shd w:val="clear" w:color="auto" w:fill="auto"/>
          </w:tcPr>
          <w:p w14:paraId="4AE55D4B" w14:textId="79DFAA7D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4443240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54DB79A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1894652" w14:textId="3557812A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Dołączone do karty rozszerzeń nośniki</w:t>
            </w:r>
          </w:p>
        </w:tc>
        <w:tc>
          <w:tcPr>
            <w:tcW w:w="4733" w:type="dxa"/>
            <w:shd w:val="clear" w:color="auto" w:fill="auto"/>
          </w:tcPr>
          <w:p w14:paraId="7902FBA6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2 nośniki M.2 2280 klasy enterprise.</w:t>
            </w:r>
          </w:p>
          <w:p w14:paraId="5A5B742E" w14:textId="027D15E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Nośniki muszą być obsługiwane przez serwer plików, zgodnie z wytycznymi firmy Synology wskazanej na stronie internetowej https://www.synology.com/pl-pl/compatibility.</w:t>
            </w:r>
          </w:p>
        </w:tc>
        <w:tc>
          <w:tcPr>
            <w:tcW w:w="3491" w:type="dxa"/>
            <w:shd w:val="clear" w:color="auto" w:fill="auto"/>
          </w:tcPr>
          <w:p w14:paraId="0184F1FD" w14:textId="149C6544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0AEDA72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97593E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EB8F51E" w14:textId="13BD14E9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Stan</w:t>
            </w:r>
          </w:p>
        </w:tc>
        <w:tc>
          <w:tcPr>
            <w:tcW w:w="4733" w:type="dxa"/>
            <w:shd w:val="clear" w:color="auto" w:fill="auto"/>
          </w:tcPr>
          <w:p w14:paraId="08A049DB" w14:textId="57D7DCA7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Fabrycznie nowe, nieotwierane i nieużywane przed dniem dostarczenia. Muszą pochodzić z oficjalnego kanału sprzedaży producenta na rynek polski.</w:t>
            </w:r>
          </w:p>
        </w:tc>
        <w:tc>
          <w:tcPr>
            <w:tcW w:w="3491" w:type="dxa"/>
            <w:shd w:val="clear" w:color="auto" w:fill="auto"/>
          </w:tcPr>
          <w:p w14:paraId="083E14C1" w14:textId="4EE58BE3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0B13CCEA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426473B2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2B75B71" w14:textId="0F38D16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nośnika</w:t>
            </w:r>
          </w:p>
        </w:tc>
        <w:tc>
          <w:tcPr>
            <w:tcW w:w="4733" w:type="dxa"/>
            <w:shd w:val="clear" w:color="auto" w:fill="auto"/>
          </w:tcPr>
          <w:p w14:paraId="6F3BC77A" w14:textId="11C5407F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Półprzewodnikowy SSD.</w:t>
            </w:r>
          </w:p>
        </w:tc>
        <w:tc>
          <w:tcPr>
            <w:tcW w:w="3491" w:type="dxa"/>
            <w:shd w:val="clear" w:color="auto" w:fill="auto"/>
          </w:tcPr>
          <w:p w14:paraId="636093D2" w14:textId="5734676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3DBA98E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30E8E75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07BF3FF" w14:textId="5747FBD6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5E4C6124" w14:textId="7F95275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480 GB.</w:t>
            </w:r>
          </w:p>
        </w:tc>
        <w:tc>
          <w:tcPr>
            <w:tcW w:w="3491" w:type="dxa"/>
            <w:shd w:val="clear" w:color="auto" w:fill="auto"/>
          </w:tcPr>
          <w:p w14:paraId="3337844F" w14:textId="1070598D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3E61C6BB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4B169524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C64671C" w14:textId="181241D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733" w:type="dxa"/>
            <w:shd w:val="clear" w:color="auto" w:fill="auto"/>
          </w:tcPr>
          <w:p w14:paraId="0F73BE47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odczyt sekwencyjny 500 MB/s.</w:t>
            </w:r>
          </w:p>
          <w:p w14:paraId="72D47FA0" w14:textId="66576AFB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zapis sekwencyjny 400 MB/s.</w:t>
            </w:r>
          </w:p>
        </w:tc>
        <w:tc>
          <w:tcPr>
            <w:tcW w:w="3491" w:type="dxa"/>
            <w:shd w:val="clear" w:color="auto" w:fill="auto"/>
          </w:tcPr>
          <w:p w14:paraId="5D3110E3" w14:textId="41283C5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5753E45" w14:textId="77777777" w:rsidTr="00FE1609">
        <w:tblPrEx>
          <w:jc w:val="left"/>
        </w:tblPrEx>
        <w:trPr>
          <w:trHeight w:val="33"/>
        </w:trPr>
        <w:tc>
          <w:tcPr>
            <w:tcW w:w="523" w:type="dxa"/>
            <w:shd w:val="clear" w:color="auto" w:fill="auto"/>
          </w:tcPr>
          <w:p w14:paraId="5E8C4EF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7BF790F" w14:textId="42AFFA12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</w:t>
            </w:r>
          </w:p>
        </w:tc>
        <w:tc>
          <w:tcPr>
            <w:tcW w:w="4733" w:type="dxa"/>
            <w:shd w:val="clear" w:color="auto" w:fill="auto"/>
          </w:tcPr>
          <w:p w14:paraId="179407EC" w14:textId="74196B0A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 6G (trzeciej generacji).</w:t>
            </w:r>
          </w:p>
        </w:tc>
        <w:tc>
          <w:tcPr>
            <w:tcW w:w="3491" w:type="dxa"/>
            <w:shd w:val="clear" w:color="auto" w:fill="auto"/>
          </w:tcPr>
          <w:p w14:paraId="2500A98D" w14:textId="3FA0497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09BB447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B40733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291D0C3" w14:textId="0E2C4B0F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</w:t>
            </w:r>
          </w:p>
        </w:tc>
        <w:tc>
          <w:tcPr>
            <w:tcW w:w="4733" w:type="dxa"/>
            <w:shd w:val="clear" w:color="auto" w:fill="auto"/>
          </w:tcPr>
          <w:p w14:paraId="0F02AE5F" w14:textId="54482BA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M.2 2280.</w:t>
            </w:r>
          </w:p>
        </w:tc>
        <w:tc>
          <w:tcPr>
            <w:tcW w:w="3491" w:type="dxa"/>
            <w:shd w:val="clear" w:color="auto" w:fill="auto"/>
          </w:tcPr>
          <w:p w14:paraId="74E82AB4" w14:textId="03307032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3A0693E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359F6E11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04E4ADB" w14:textId="6FBEADA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Klasyfikacja wytrzymałości </w:t>
            </w: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(zapisy w okresie istnienia)</w:t>
            </w:r>
          </w:p>
        </w:tc>
        <w:tc>
          <w:tcPr>
            <w:tcW w:w="4733" w:type="dxa"/>
            <w:shd w:val="clear" w:color="auto" w:fill="auto"/>
          </w:tcPr>
          <w:p w14:paraId="169A94BE" w14:textId="0117FA25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Minimum 1 PBW.</w:t>
            </w:r>
          </w:p>
        </w:tc>
        <w:tc>
          <w:tcPr>
            <w:tcW w:w="3491" w:type="dxa"/>
            <w:shd w:val="clear" w:color="auto" w:fill="auto"/>
          </w:tcPr>
          <w:p w14:paraId="4349070D" w14:textId="744CE695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756A7EF" w14:textId="77777777" w:rsidTr="00FE1609">
        <w:tblPrEx>
          <w:jc w:val="left"/>
        </w:tblPrEx>
        <w:trPr>
          <w:trHeight w:val="58"/>
        </w:trPr>
        <w:tc>
          <w:tcPr>
            <w:tcW w:w="523" w:type="dxa"/>
            <w:shd w:val="clear" w:color="auto" w:fill="auto"/>
          </w:tcPr>
          <w:p w14:paraId="2E5EDF9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8B4AFE6" w14:textId="0FE40C46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Nominalny czas pracy</w:t>
            </w:r>
          </w:p>
        </w:tc>
        <w:tc>
          <w:tcPr>
            <w:tcW w:w="4733" w:type="dxa"/>
            <w:shd w:val="clear" w:color="auto" w:fill="auto"/>
          </w:tcPr>
          <w:p w14:paraId="16CCD0B1" w14:textId="3AB7A110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2 000 000 godzin.</w:t>
            </w:r>
          </w:p>
        </w:tc>
        <w:tc>
          <w:tcPr>
            <w:tcW w:w="3491" w:type="dxa"/>
            <w:shd w:val="clear" w:color="auto" w:fill="auto"/>
          </w:tcPr>
          <w:p w14:paraId="4A6ECA60" w14:textId="4536D9B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0BA167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80BB49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7F007CA1" w14:textId="72982640" w:rsidR="00506FE5" w:rsidRPr="00FE1609" w:rsidRDefault="00506FE5">
            <w:pPr>
              <w:ind w:left="11" w:right="13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Warunki gwarancji</w:t>
            </w:r>
          </w:p>
        </w:tc>
      </w:tr>
      <w:tr w:rsidR="00506FE5" w:rsidRPr="00506FE5" w14:paraId="0D97BB8D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9C90388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F992D9A" w14:textId="7399F643" w:rsidR="00506FE5" w:rsidRPr="00FE1609" w:rsidRDefault="00506FE5" w:rsidP="00FE1609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jednostki z zainstalowanymi nośnikami</w:t>
            </w:r>
          </w:p>
        </w:tc>
        <w:tc>
          <w:tcPr>
            <w:tcW w:w="4733" w:type="dxa"/>
            <w:shd w:val="clear" w:color="auto" w:fill="auto"/>
          </w:tcPr>
          <w:p w14:paraId="3E3B561F" w14:textId="77777777" w:rsidR="00506FE5" w:rsidRPr="00FE1609" w:rsidRDefault="00506FE5" w:rsidP="00506FE5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60-miesięczna Gwarancja Producenta z gwarancją wymiany uszkodzonego sprzętu następnego dnia roboczego (tzw. NBD).</w:t>
            </w:r>
          </w:p>
          <w:p w14:paraId="32776BCD" w14:textId="2466A6B8" w:rsidR="00506FE5" w:rsidRPr="00FE1609" w:rsidRDefault="00506FE5" w:rsidP="00FE1609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Możliwość sprawdzenia statusu gwarancji poprzez stronę producenta podając unikatowy numer urządzenia. </w:t>
            </w:r>
          </w:p>
        </w:tc>
        <w:tc>
          <w:tcPr>
            <w:tcW w:w="3491" w:type="dxa"/>
            <w:shd w:val="clear" w:color="auto" w:fill="auto"/>
          </w:tcPr>
          <w:p w14:paraId="2A6F5EE2" w14:textId="1DBAF91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39BA343E" w14:textId="77777777" w:rsidTr="00FE1609">
        <w:tblPrEx>
          <w:jc w:val="left"/>
        </w:tblPrEx>
        <w:trPr>
          <w:trHeight w:val="281"/>
        </w:trPr>
        <w:tc>
          <w:tcPr>
            <w:tcW w:w="523" w:type="dxa"/>
            <w:shd w:val="clear" w:color="auto" w:fill="auto"/>
          </w:tcPr>
          <w:p w14:paraId="06A8B7F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1A6DFBE" w14:textId="74896D42" w:rsidR="00506FE5" w:rsidRPr="00FE1609" w:rsidRDefault="00506FE5" w:rsidP="00FE1609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karty rozszerzeń M.2 SSD</w:t>
            </w:r>
          </w:p>
        </w:tc>
        <w:tc>
          <w:tcPr>
            <w:tcW w:w="4733" w:type="dxa"/>
            <w:shd w:val="clear" w:color="auto" w:fill="auto"/>
          </w:tcPr>
          <w:p w14:paraId="49E24168" w14:textId="38DF4095" w:rsidR="00506FE5" w:rsidRPr="00FE1609" w:rsidRDefault="00506FE5" w:rsidP="00FE1609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36-miesięczna Gwarancja Producenta.</w:t>
            </w:r>
          </w:p>
        </w:tc>
        <w:tc>
          <w:tcPr>
            <w:tcW w:w="3491" w:type="dxa"/>
            <w:shd w:val="clear" w:color="auto" w:fill="auto"/>
          </w:tcPr>
          <w:p w14:paraId="07F41444" w14:textId="28F35FF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E70D9D4" w14:textId="77777777" w:rsidTr="00FE1609">
        <w:tblPrEx>
          <w:jc w:val="left"/>
        </w:tblPrEx>
        <w:trPr>
          <w:trHeight w:val="814"/>
        </w:trPr>
        <w:tc>
          <w:tcPr>
            <w:tcW w:w="523" w:type="dxa"/>
            <w:shd w:val="clear" w:color="auto" w:fill="auto"/>
          </w:tcPr>
          <w:p w14:paraId="6D8B77B0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A7B7E98" w14:textId="60F1AE30" w:rsidR="00506FE5" w:rsidRPr="00FE1609" w:rsidRDefault="00506FE5" w:rsidP="00FE1609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nośników do karty rozszerzeń</w:t>
            </w:r>
          </w:p>
        </w:tc>
        <w:tc>
          <w:tcPr>
            <w:tcW w:w="4733" w:type="dxa"/>
            <w:shd w:val="clear" w:color="auto" w:fill="auto"/>
          </w:tcPr>
          <w:p w14:paraId="17A35C40" w14:textId="77777777" w:rsidR="00506FE5" w:rsidRPr="00FE1609" w:rsidRDefault="00506FE5" w:rsidP="00506FE5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60-miesięczna Gwarancja Producenta.</w:t>
            </w:r>
          </w:p>
          <w:p w14:paraId="0EB4572D" w14:textId="7116CA48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Okres gwarancji liczony będzie od daty sporządzenia protokołu zdawczo-odbiorczego przedmiotu zamówienia.</w:t>
            </w:r>
          </w:p>
        </w:tc>
        <w:tc>
          <w:tcPr>
            <w:tcW w:w="3491" w:type="dxa"/>
            <w:shd w:val="clear" w:color="auto" w:fill="auto"/>
          </w:tcPr>
          <w:p w14:paraId="3781178A" w14:textId="1BB57AC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p w14:paraId="530740AA" w14:textId="06D5D56C" w:rsidR="00506FE5" w:rsidRDefault="00506FE5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69570A" w14:textId="77777777" w:rsidR="00506FE5" w:rsidRDefault="00506FE5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2ABBEF3E" w14:textId="77777777" w:rsidR="0036029B" w:rsidRPr="00F84F1D" w:rsidRDefault="0036029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48ADD2" w14:textId="475502DF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171D46">
        <w:rPr>
          <w:rFonts w:ascii="Tahoma" w:eastAsia="Calibri" w:hAnsi="Tahoma" w:cs="Tahoma"/>
          <w:b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693760A3" w14:textId="235BFE7A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BE3417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5B5A71" w14:paraId="66662E64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A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73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CE7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407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BD89297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F6" w14:textId="77777777" w:rsidR="005B5A71" w:rsidRDefault="005B5A71" w:rsidP="00A77F4B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F50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F25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B8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E7C934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C2BF944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4E068F0D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6CAACE65" w14:textId="1B3E6384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BE3417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5B5A71" w14:paraId="1FEC297A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F6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B4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1A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63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0D5B36B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F4DAC1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EA5C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CF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4D832425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B0E7AEE" w14:textId="15B36C2B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C5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44A8EF2B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20341153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38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7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1B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52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BA6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83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369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B5A71" w14:paraId="1CA04101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CEC" w14:textId="77777777" w:rsidR="005B5A71" w:rsidRDefault="005B5A71" w:rsidP="00A77F4B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6CF4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8E5A" w14:textId="77777777" w:rsidR="005B5A71" w:rsidRDefault="005B5A71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7F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A8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2B7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14D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66CBAFE5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886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942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4E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5A8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04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BF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B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F27D8EC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B9A02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3A4146B7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7542B8D0" w14:textId="1ACB7C9E" w:rsidR="005B5A71" w:rsidRDefault="005B5A71" w:rsidP="005B5A71">
      <w:pPr>
        <w:rPr>
          <w:rFonts w:ascii="Tahoma" w:hAnsi="Tahoma" w:cs="Tahoma"/>
        </w:rPr>
      </w:pPr>
    </w:p>
    <w:p w14:paraId="7E8EBC78" w14:textId="7E4D7E60" w:rsidR="00CD4A97" w:rsidRDefault="00CD4A97" w:rsidP="00CD4A97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BE3417" w:rsidRPr="00BE3417">
        <w:rPr>
          <w:rFonts w:ascii="Tahoma" w:hAnsi="Tahoma" w:cs="Tahoma"/>
          <w:b/>
          <w:u w:val="single"/>
        </w:rPr>
        <w:t>KLASTER I SYNCHRONIZACJA</w:t>
      </w:r>
    </w:p>
    <w:p w14:paraId="0B788AA0" w14:textId="7DF62FE4" w:rsidR="00CD4A97" w:rsidRDefault="00CD4A97" w:rsidP="005B5A71">
      <w:pPr>
        <w:rPr>
          <w:rFonts w:ascii="Tahoma" w:hAnsi="Tahoma" w:cs="Tahoma"/>
        </w:rPr>
      </w:pPr>
    </w:p>
    <w:p w14:paraId="600170D3" w14:textId="77777777" w:rsidR="00BE3417" w:rsidRDefault="00BE3417" w:rsidP="005B5A71">
      <w:pPr>
        <w:rPr>
          <w:rFonts w:ascii="Tahoma" w:hAnsi="Tahoma" w:cs="Tahoma"/>
          <w:sz w:val="20"/>
          <w:szCs w:val="20"/>
        </w:rPr>
      </w:pPr>
      <w:r w:rsidRPr="00FE1609">
        <w:rPr>
          <w:rFonts w:ascii="Tahoma" w:hAnsi="Tahoma" w:cs="Tahoma"/>
          <w:sz w:val="20"/>
          <w:szCs w:val="20"/>
        </w:rPr>
        <w:t>System pozwalający na zestawienie w klaster Active-Active oraz włączenie synchronizacji sesji firewall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1691A84F" w14:textId="77777777" w:rsidR="00BE3417" w:rsidRDefault="00BE3417" w:rsidP="005B5A71">
      <w:pPr>
        <w:rPr>
          <w:rFonts w:ascii="Tahoma" w:hAnsi="Tahoma" w:cs="Tahoma"/>
          <w:sz w:val="20"/>
          <w:szCs w:val="20"/>
        </w:rPr>
      </w:pPr>
    </w:p>
    <w:p w14:paraId="68984A51" w14:textId="32523395" w:rsidR="00BE3417" w:rsidRPr="00F20ECF" w:rsidRDefault="00BE3417" w:rsidP="005B5A71">
      <w:pPr>
        <w:rPr>
          <w:rFonts w:ascii="Tahoma" w:hAnsi="Tahoma" w:cs="Tahoma"/>
          <w:b/>
          <w:bCs/>
          <w:sz w:val="20"/>
          <w:szCs w:val="20"/>
        </w:rPr>
      </w:pPr>
      <w:r w:rsidRPr="00F20ECF">
        <w:rPr>
          <w:rFonts w:ascii="Tahoma" w:hAnsi="Tahoma" w:cs="Tahoma"/>
          <w:b/>
          <w:bCs/>
          <w:sz w:val="20"/>
          <w:szCs w:val="20"/>
        </w:rPr>
        <w:t>spełnia/nie spełnia *</w:t>
      </w:r>
    </w:p>
    <w:p w14:paraId="5E159F57" w14:textId="77777777" w:rsidR="00CD4A97" w:rsidRDefault="00CD4A97" w:rsidP="005B5A71">
      <w:pPr>
        <w:rPr>
          <w:rFonts w:ascii="Tahoma" w:hAnsi="Tahoma" w:cs="Tahoma"/>
        </w:rPr>
      </w:pPr>
    </w:p>
    <w:p w14:paraId="7FD5D190" w14:textId="437C8696" w:rsidR="005B5A71" w:rsidRDefault="005B5A71" w:rsidP="005B5A71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</w:t>
      </w:r>
      <w:r w:rsidR="00CD4A97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u w:val="single"/>
        </w:rPr>
        <w:t xml:space="preserve"> – OKRES GWARANCJI</w:t>
      </w:r>
    </w:p>
    <w:p w14:paraId="60762A01" w14:textId="77777777" w:rsidR="00FE18C5" w:rsidRDefault="00FE18C5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8D56BC9" w14:textId="61EB92F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miesięcy.</w:t>
      </w:r>
    </w:p>
    <w:p w14:paraId="3E94DC34" w14:textId="4CBD3DF9" w:rsidR="00626D42" w:rsidRDefault="00626D42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12FF4B5B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D09D17" w14:textId="18BF365B" w:rsidR="005B5A71" w:rsidRPr="00FE1609" w:rsidRDefault="005B5A71" w:rsidP="00FE1609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>Dane techniczne oferowanej zapory ogniowej</w:t>
      </w:r>
      <w:r w:rsidR="00BE3417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0734D6" w:rsidRPr="0061030E" w14:paraId="426C4046" w14:textId="77777777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3DA69776" w14:textId="77777777" w:rsidR="000734D6" w:rsidRPr="00873483" w:rsidRDefault="000734D6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3B0D6774" w14:textId="77777777" w:rsidR="000734D6" w:rsidRPr="00873483" w:rsidRDefault="000734D6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0C46A1F7" w14:textId="77777777" w:rsidR="000734D6" w:rsidRPr="00873483" w:rsidRDefault="000734D6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0CC02586" w14:textId="77777777" w:rsidR="000734D6" w:rsidRPr="00873483" w:rsidRDefault="000734D6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0734D6" w:rsidRPr="0061030E" w14:paraId="34A91326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DEA98EB" w14:textId="77777777" w:rsidR="000734D6" w:rsidRPr="00873483" w:rsidRDefault="000734D6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BF940E5" w14:textId="64CCB712" w:rsidR="000734D6" w:rsidRPr="00873483" w:rsidRDefault="000734D6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ogólnie</w:t>
            </w:r>
          </w:p>
        </w:tc>
        <w:tc>
          <w:tcPr>
            <w:tcW w:w="4733" w:type="dxa"/>
          </w:tcPr>
          <w:p w14:paraId="1C980E59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Dostarczony system musi zapewniać wszystkie wymienione poniżej funkcje sieciowe i bezpieczeństwa niezależnie od dostawcy łącza. Dopuszcza się aby poszczególne elementy wchodzące w skład systemu były zrealizowane w postaci osobnych, komercyjnych platform sprzętowych lub komercyjnych aplikacji instalowanych na platformach ogólnego przeznaczenia.</w:t>
            </w:r>
          </w:p>
          <w:p w14:paraId="106B39E3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przypadku implementacji programowej dostawca musi zapewnić niezbędne platformy sprzętowe wraz z odpowiednio zabezpieczonym systemem operacyjnym.</w:t>
            </w:r>
          </w:p>
          <w:p w14:paraId="7C986CDD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realizujący funkcję Firewall musi dawać możliwość pracy w jednym z trzech trybów: </w:t>
            </w:r>
          </w:p>
          <w:p w14:paraId="7E954B59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routera z funkcją NAT, </w:t>
            </w:r>
          </w:p>
          <w:p w14:paraId="40789948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transparentnym,</w:t>
            </w:r>
          </w:p>
          <w:p w14:paraId="6D9D340C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monitorowania na porcie SPAN.</w:t>
            </w:r>
          </w:p>
          <w:p w14:paraId="42E2A8D8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ramach dostarczonego systemu musi być zapewniona możliwość budowy minimum 2 oddzielnych (fizycznych lub logicznych) instancji systemów w zakresie: </w:t>
            </w:r>
          </w:p>
          <w:p w14:paraId="0C74434F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rutingu,</w:t>
            </w:r>
          </w:p>
          <w:p w14:paraId="6346E332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firewalla,</w:t>
            </w:r>
          </w:p>
          <w:p w14:paraId="3186E987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IPSec VPN,</w:t>
            </w:r>
          </w:p>
          <w:p w14:paraId="1FB9BD42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antywirus,</w:t>
            </w:r>
          </w:p>
          <w:p w14:paraId="339E3EF4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IPS,</w:t>
            </w:r>
          </w:p>
          <w:p w14:paraId="58E1F666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kontroli aplikacji.</w:t>
            </w:r>
          </w:p>
          <w:p w14:paraId="6FB68623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Powinna istnieć możliwość dedykowania co najmniej 10 administratorów do poszczególnych instancji systemu.</w:t>
            </w:r>
          </w:p>
          <w:p w14:paraId="4844D9CF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wspierać IPv4 oraz IPv6 w zakresie:</w:t>
            </w:r>
          </w:p>
          <w:p w14:paraId="1464C606" w14:textId="77777777" w:rsidR="000734D6" w:rsidRPr="00FE1609" w:rsidRDefault="000734D6" w:rsidP="000734D6">
            <w:pPr>
              <w:pStyle w:val="Akapitzlist"/>
              <w:numPr>
                <w:ilvl w:val="0"/>
                <w:numId w:val="31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firewall,</w:t>
            </w:r>
          </w:p>
          <w:p w14:paraId="790D9643" w14:textId="77777777" w:rsidR="000734D6" w:rsidRPr="00FE1609" w:rsidRDefault="000734D6" w:rsidP="000734D6">
            <w:pPr>
              <w:pStyle w:val="Akapitzlist"/>
              <w:numPr>
                <w:ilvl w:val="0"/>
                <w:numId w:val="31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ochrony w warstwie aplikacji,</w:t>
            </w:r>
          </w:p>
          <w:p w14:paraId="643B5CA4" w14:textId="194A907D" w:rsidR="000734D6" w:rsidRPr="00873483" w:rsidRDefault="000734D6" w:rsidP="000734D6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protokołów routingu dynamicznego.</w:t>
            </w:r>
          </w:p>
        </w:tc>
        <w:tc>
          <w:tcPr>
            <w:tcW w:w="3491" w:type="dxa"/>
          </w:tcPr>
          <w:p w14:paraId="545DFC68" w14:textId="77777777" w:rsidR="000734D6" w:rsidRPr="00873483" w:rsidRDefault="000734D6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915BBD3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5506BD3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9456163" w14:textId="5C95C088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Redundancja, monitoring i wykrywanie awarii</w:t>
            </w:r>
          </w:p>
        </w:tc>
        <w:tc>
          <w:tcPr>
            <w:tcW w:w="4733" w:type="dxa"/>
            <w:shd w:val="clear" w:color="auto" w:fill="auto"/>
          </w:tcPr>
          <w:p w14:paraId="7808194A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przypadku systemu pełniącego funkcje: Firewall, IPSec, Kontrola Aplikacji oraz IPS – musi istnieć możliwość łączenia w klaster Active-Active lub Active-Passive. W obu trybach powinna istnieć funkcja synchronizacji sesji firewall.</w:t>
            </w:r>
          </w:p>
          <w:p w14:paraId="69BF1DB2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zbudowanie systemu w postaci redundantnej.</w:t>
            </w:r>
          </w:p>
          <w:p w14:paraId="63E33291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oraz wykrywanie uszkodzenia elementów sprzętowych i programowych systemów zabezpieczeń oraz łączy sieciowych.</w:t>
            </w:r>
          </w:p>
          <w:p w14:paraId="1E17DD03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stanu realizowanych połączeń VPN.</w:t>
            </w:r>
          </w:p>
          <w:p w14:paraId="45B5BD60" w14:textId="3C426197" w:rsidR="00873483" w:rsidRPr="0022722F" w:rsidRDefault="00873483" w:rsidP="00FE1609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agregację linków statyczną oraz w oparciu o protokół LACP. Powinna istnieć możliwość tworzenia interfejsów redundantnych.</w:t>
            </w:r>
          </w:p>
        </w:tc>
        <w:tc>
          <w:tcPr>
            <w:tcW w:w="3491" w:type="dxa"/>
          </w:tcPr>
          <w:p w14:paraId="682EDE5E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C4DF29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2DC3BC5" w14:textId="77777777" w:rsidR="00873483" w:rsidRPr="00873483" w:rsidRDefault="00873483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5EDCE08" w14:textId="77777777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59A6BB4A" w14:textId="77777777" w:rsidR="00873483" w:rsidRPr="0061030E" w:rsidRDefault="00873483" w:rsidP="0087348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030E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F05DE19" w14:textId="6C6BF320" w:rsidR="00873483" w:rsidRPr="00873483" w:rsidRDefault="00873483" w:rsidP="00873483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 xml:space="preserve">Zamawiający posiada firewall Fortinet FG-200E, dostarczony system musi pozwalać na zestawienie w </w:t>
            </w: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klaster Active-Active oraz włączenie synchronizacji sesji firewall.</w:t>
            </w:r>
          </w:p>
        </w:tc>
        <w:tc>
          <w:tcPr>
            <w:tcW w:w="3491" w:type="dxa"/>
          </w:tcPr>
          <w:p w14:paraId="2F265314" w14:textId="3E4D1CFE" w:rsidR="00873483" w:rsidRPr="00873483" w:rsidRDefault="00873483" w:rsidP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04A01048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1D37B47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92CFC4E" w14:textId="458CA447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Interfejsy i zasilanie</w:t>
            </w:r>
          </w:p>
        </w:tc>
        <w:tc>
          <w:tcPr>
            <w:tcW w:w="4733" w:type="dxa"/>
          </w:tcPr>
          <w:p w14:paraId="3F8721BE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dysponować minimum:</w:t>
            </w:r>
          </w:p>
          <w:p w14:paraId="3E2649B8" w14:textId="77777777" w:rsidR="00873483" w:rsidRPr="00FE1609" w:rsidRDefault="00873483" w:rsidP="00873483">
            <w:pPr>
              <w:pStyle w:val="Akapitzlist"/>
              <w:numPr>
                <w:ilvl w:val="0"/>
                <w:numId w:val="3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18 portami Gigabit Ethernet RJ-45.</w:t>
            </w:r>
          </w:p>
          <w:p w14:paraId="5DE6ED8F" w14:textId="77777777" w:rsidR="00873483" w:rsidRPr="00FE1609" w:rsidRDefault="00873483" w:rsidP="00873483">
            <w:pPr>
              <w:pStyle w:val="Akapitzlist"/>
              <w:numPr>
                <w:ilvl w:val="0"/>
                <w:numId w:val="3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4 gniazdami SFP 1 Gbps.</w:t>
            </w:r>
          </w:p>
          <w:p w14:paraId="7F347F5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posiadać wbudowany port konsoli szeregowej oraz gniazdo</w:t>
            </w:r>
          </w:p>
          <w:p w14:paraId="1C06C24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USB umożliwiające podłączenie modemu 3G/4G oraz instalacji oprogramowania z klucza USB.</w:t>
            </w:r>
          </w:p>
          <w:p w14:paraId="4A58710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systemu powinna być możliwość zdefiniowania co najmniej 200 interfejsów wirtualnych - definiowanych jako VLAN’y w oparciu o standard 802.1Q.</w:t>
            </w:r>
          </w:p>
          <w:p w14:paraId="3DD807F1" w14:textId="3DF48204" w:rsidR="00873483" w:rsidRPr="00873483" w:rsidRDefault="00873483" w:rsidP="00873483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być wyposażony w zasilanie AC zgodnie ze standardem używanym w Polsce.</w:t>
            </w:r>
          </w:p>
        </w:tc>
        <w:tc>
          <w:tcPr>
            <w:tcW w:w="3491" w:type="dxa"/>
          </w:tcPr>
          <w:p w14:paraId="23B57D99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15834115" w14:textId="77777777" w:rsidTr="00FE1609">
        <w:trPr>
          <w:trHeight w:val="143"/>
          <w:jc w:val="center"/>
        </w:trPr>
        <w:tc>
          <w:tcPr>
            <w:tcW w:w="523" w:type="dxa"/>
            <w:shd w:val="clear" w:color="auto" w:fill="auto"/>
          </w:tcPr>
          <w:p w14:paraId="0B9D4864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BEEDA94" w14:textId="682CABF1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Parametry wydajnościowe</w:t>
            </w:r>
          </w:p>
        </w:tc>
        <w:tc>
          <w:tcPr>
            <w:tcW w:w="4733" w:type="dxa"/>
          </w:tcPr>
          <w:p w14:paraId="14CD2A4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zakresie Firewall’a obsługa nie mniej niż 2 mln jednoczesnych połączeń oraz 135.000 nowych połączeń na sekundę.</w:t>
            </w:r>
          </w:p>
          <w:p w14:paraId="1DDA89B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Przepustowość Stateful Firewall: nie mniej niż 20 Gbps dla pakietów 512 B.</w:t>
            </w:r>
          </w:p>
          <w:p w14:paraId="63E2926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Przepustowość Stateful Firewall: nie mniej niż 9 Gbps dla pakietów 64 B.</w:t>
            </w:r>
          </w:p>
          <w:p w14:paraId="0617D14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Przepustowość Firewall z włączoną funkcją Kontroli Aplikacji: nie mniej niż 3.5 Gbps.</w:t>
            </w:r>
          </w:p>
          <w:p w14:paraId="5AC4C31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 szyfrowania VPN IPSec dla pakietów 512 B, przy zastosowaniu algorytmu o mocy nie mniejszej niż AES256 – SHA256: nie mniej niż 7.2 Gbps.</w:t>
            </w:r>
          </w:p>
          <w:p w14:paraId="497E61C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 skanowania ruchu w celu ochrony przed atakami (zarówno client side jak i server side w ramach modułu IPS) dla ruchu Enterprise Traffic Mix - minimum 2.2 Gbps.</w:t>
            </w:r>
          </w:p>
          <w:p w14:paraId="107A60F2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 skanowania ruchu typu Enterprise Mix z włączonymi funkcjami: IPS, Application Control, Antywirus - minimum 1.2 Gbps.</w:t>
            </w:r>
          </w:p>
          <w:p w14:paraId="3D258088" w14:textId="41E5E03B" w:rsidR="00873483" w:rsidRPr="00873483" w:rsidRDefault="00873483" w:rsidP="00873483">
            <w:pPr>
              <w:spacing w:before="40" w:after="4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 systemu w zakresie inspekcji komunikacji szyfrowanej SSL dla ruchu http – minimum 820 Mbps.</w:t>
            </w:r>
          </w:p>
        </w:tc>
        <w:tc>
          <w:tcPr>
            <w:tcW w:w="3491" w:type="dxa"/>
          </w:tcPr>
          <w:p w14:paraId="62C0B241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32C96ED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7647175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3618380" w14:textId="2AD819BE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Funkcje systemu bezpieczeństwa</w:t>
            </w:r>
          </w:p>
        </w:tc>
        <w:tc>
          <w:tcPr>
            <w:tcW w:w="4733" w:type="dxa"/>
          </w:tcPr>
          <w:p w14:paraId="3F604D7D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6C89887A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dostępu - zapora ogniowa klasy Stateful Inspection.</w:t>
            </w:r>
          </w:p>
          <w:p w14:paraId="7345A8E1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aplikacji.</w:t>
            </w:r>
          </w:p>
          <w:p w14:paraId="526CA39E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Poufność transmisji danych - połączenia szyfrowane IPSec VPN oraz SSL VPN.</w:t>
            </w:r>
          </w:p>
          <w:p w14:paraId="2CCDC32F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przed malware – co najmniej dla protokołów SMTP, POP3, IMAP, HTTP, FTP, HTTPS.</w:t>
            </w:r>
          </w:p>
          <w:p w14:paraId="6CC5B34B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przed atakami - Intrusion Prevention System.</w:t>
            </w:r>
          </w:p>
          <w:p w14:paraId="777C408D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stron WWW.</w:t>
            </w:r>
          </w:p>
          <w:p w14:paraId="74C5483F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zawartości poczty – Antyspam dla protokołów SMTP, POP3, IMAP.</w:t>
            </w:r>
          </w:p>
          <w:p w14:paraId="4F718FC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 pasmem (QoS, Traffic shaping).</w:t>
            </w:r>
          </w:p>
          <w:p w14:paraId="52A66923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Mechanizmy ochrony przed wyciekiem poufnej informacji (DLP).</w:t>
            </w:r>
          </w:p>
          <w:p w14:paraId="551C505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Dwu-składnikowe uwierzytelnianie z wykorzystaniem tokenów sprzętowych lub programowych. W ramach postępowania powinny zostać dostarczone co najmniej 2 tokeny sprzętowe lub programowe, które będą zastosowane do dwu-składnikowego uwierzytelnienia administratorów lub w ramach połączeń VPN typu client-to-site.</w:t>
            </w:r>
          </w:p>
          <w:p w14:paraId="3A43C1C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Analiza ruchu szyfrowanego protokołem SSL.</w:t>
            </w:r>
          </w:p>
          <w:p w14:paraId="1EFE91DB" w14:textId="59E99AC5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Analiza ruchu szyfrowanego protokołem SSH.</w:t>
            </w:r>
          </w:p>
        </w:tc>
        <w:tc>
          <w:tcPr>
            <w:tcW w:w="3491" w:type="dxa"/>
          </w:tcPr>
          <w:p w14:paraId="272E358F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39C2CC25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74AEEBCC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598F74E" w14:textId="2FAE0245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Polityki firewall</w:t>
            </w:r>
          </w:p>
        </w:tc>
        <w:tc>
          <w:tcPr>
            <w:tcW w:w="4733" w:type="dxa"/>
          </w:tcPr>
          <w:p w14:paraId="4199DB3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Polityka firewall musi uwzględniać adresy IP, użytkowników, protokoły, usługi sieciowe, aplikacje lub zbiory aplikacji, reakcje zabezpieczeń, rejestrowanie zdarzeń.</w:t>
            </w:r>
          </w:p>
          <w:p w14:paraId="467CD2F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zapewniać translację adresów NAT: źródłowego i docelowego, translację PAT oraz:</w:t>
            </w:r>
          </w:p>
          <w:p w14:paraId="3DB6D1E2" w14:textId="77777777" w:rsidR="00873483" w:rsidRPr="00FE1609" w:rsidRDefault="00873483" w:rsidP="00873483">
            <w:pPr>
              <w:pStyle w:val="Akapitzlist"/>
              <w:numPr>
                <w:ilvl w:val="0"/>
                <w:numId w:val="34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translację jeden do jeden oraz jeden do wielu.</w:t>
            </w:r>
          </w:p>
          <w:p w14:paraId="299E97C1" w14:textId="77777777" w:rsidR="00873483" w:rsidRPr="00FE1609" w:rsidRDefault="00873483" w:rsidP="00873483">
            <w:pPr>
              <w:pStyle w:val="Akapitzlist"/>
              <w:numPr>
                <w:ilvl w:val="0"/>
                <w:numId w:val="34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dedykowany ALG (Application Level Gateway) dla protokołu SIP.</w:t>
            </w:r>
          </w:p>
          <w:p w14:paraId="08545178" w14:textId="443099FC" w:rsidR="00873483" w:rsidRPr="00873483" w:rsidRDefault="00873483" w:rsidP="00873483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systemu musi istnieć możliwość tworzenia wydzielonych stref bezpieczeństwa np. DMZ, LAN, WAN.</w:t>
            </w:r>
          </w:p>
        </w:tc>
        <w:tc>
          <w:tcPr>
            <w:tcW w:w="3491" w:type="dxa"/>
          </w:tcPr>
          <w:p w14:paraId="25C60BE3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88B80C0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011E88A1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B6C2C28" w14:textId="17902E58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Połączenia VPN</w:t>
            </w:r>
          </w:p>
        </w:tc>
        <w:tc>
          <w:tcPr>
            <w:tcW w:w="4733" w:type="dxa"/>
            <w:shd w:val="clear" w:color="auto" w:fill="auto"/>
          </w:tcPr>
          <w:p w14:paraId="114E98A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konfigurację połączeń typu IPSec VPN. W zakresie tej funkcji musi zapewniać:</w:t>
            </w:r>
          </w:p>
          <w:p w14:paraId="0F41DD83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Wsparcie dla IKE v1 oraz v2.</w:t>
            </w:r>
          </w:p>
          <w:p w14:paraId="6CDBA495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Obsługa szyfrowania protokołem AES z kluczem 128 i 256 bitów w trybie pracy Galois/Counter Mode(GCM).</w:t>
            </w:r>
          </w:p>
          <w:p w14:paraId="4145D899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Obsługa protokołu Diffie-Hellman grup 19 i 20.</w:t>
            </w:r>
          </w:p>
          <w:p w14:paraId="2F9331C9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Wsparcie dla Pracy w topologii Hub and Spoke oraz Mesh, w tym wsparcie dla dynamicznego zestawiania tuneli pomiędzy SPOKE w topologii HUB and SPOKE.</w:t>
            </w:r>
          </w:p>
          <w:p w14:paraId="3CE9BB72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Tworzenie połączeń typu Site-to-Site oraz Client-to-Site.</w:t>
            </w:r>
          </w:p>
          <w:p w14:paraId="6DC8CC91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Monitorowanie stanu tuneli VPN i stałego utrzymywania ich aktywności.</w:t>
            </w:r>
          </w:p>
          <w:p w14:paraId="4B5CD3CE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43366CDD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Obsługa mechanizmów: IPSec NAT Traversal, DPD, Xauth.</w:t>
            </w:r>
          </w:p>
          <w:p w14:paraId="19FB2AC3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Mechanizm „Split tunneling” dla połączeń Client-to-Site.</w:t>
            </w:r>
          </w:p>
          <w:p w14:paraId="53A43176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konfigurację połączeń typu SSL VPN. W zakresie tej funkcji musi zapewniać:</w:t>
            </w:r>
          </w:p>
          <w:p w14:paraId="5D0A65AA" w14:textId="77777777" w:rsidR="00873483" w:rsidRPr="00FE1609" w:rsidRDefault="00873483" w:rsidP="00873483">
            <w:pPr>
              <w:pStyle w:val="Akapitzlist"/>
              <w:numPr>
                <w:ilvl w:val="0"/>
                <w:numId w:val="36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Pracę w trybie Portal - gdzie dostęp do chronionych zasobów realizowany jest za pośrednictwem przeglądarki. W tym zakresie system musi zapewniać stronę komunikacyjną działającą w oparciu o HTML 5.0.</w:t>
            </w:r>
          </w:p>
          <w:p w14:paraId="4FE6BFB1" w14:textId="72EB16E0" w:rsidR="00873483" w:rsidRPr="00873483" w:rsidRDefault="00873483" w:rsidP="00873483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Pracę w trybie Tunnel z możliwością włączenia funkcji „Split tunneling” przy zastosowaniu dedykowanego klienta.</w:t>
            </w:r>
          </w:p>
        </w:tc>
        <w:tc>
          <w:tcPr>
            <w:tcW w:w="3491" w:type="dxa"/>
            <w:shd w:val="clear" w:color="auto" w:fill="auto"/>
          </w:tcPr>
          <w:p w14:paraId="6254C161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11BF018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2E77D59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5C091AE" w14:textId="3FD993B3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Routing i obsługa łączy WAN</w:t>
            </w:r>
          </w:p>
        </w:tc>
        <w:tc>
          <w:tcPr>
            <w:tcW w:w="4733" w:type="dxa"/>
          </w:tcPr>
          <w:p w14:paraId="19040B7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zakresie routingu rozwiązanie powinno zapewniać obsługę:</w:t>
            </w:r>
          </w:p>
          <w:p w14:paraId="4B390BCE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Routingu statycznego.</w:t>
            </w:r>
          </w:p>
          <w:p w14:paraId="6686B86C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Policy Based Routingu.</w:t>
            </w:r>
          </w:p>
          <w:p w14:paraId="595DF83A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Protokołów dynamicznego routingu w oparciu o protokoły: RIPv2, OSPF, BGP oraz PIM.</w:t>
            </w:r>
          </w:p>
          <w:p w14:paraId="300F452F" w14:textId="05089F9E" w:rsidR="00873483" w:rsidRPr="00873483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obsługę kilku (co najmniej dwóch) łączy WAN z mechanizmami statycznego lub dynamicznego podziału obciążenia oraz monitorowaniem stanu połączeń WAN.</w:t>
            </w:r>
          </w:p>
        </w:tc>
        <w:tc>
          <w:tcPr>
            <w:tcW w:w="3491" w:type="dxa"/>
          </w:tcPr>
          <w:p w14:paraId="54DDEEB8" w14:textId="2C8CB5C2" w:rsidR="00873483" w:rsidRPr="00873483" w:rsidRDefault="00873483" w:rsidP="00FE16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0181D45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7D6AE1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1E1C5B4" w14:textId="36E01C02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 pasmem</w:t>
            </w:r>
          </w:p>
        </w:tc>
        <w:tc>
          <w:tcPr>
            <w:tcW w:w="4733" w:type="dxa"/>
            <w:shd w:val="clear" w:color="auto" w:fill="auto"/>
          </w:tcPr>
          <w:p w14:paraId="4E9F47A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zarządzanie pasmem poprzez określenie: maksymalnej, gwarantowanej ilości pasma, oznaczanie DSCP oraz wskazanie priorytetu ruchu.</w:t>
            </w:r>
          </w:p>
          <w:p w14:paraId="4F8BA93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Musi istnieć możliwość określania pasma dla poszczególnych aplikacji.</w:t>
            </w:r>
          </w:p>
          <w:p w14:paraId="5D6A7550" w14:textId="3BE809A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zapewniać możliwość zarządzania pasmem dla wybranych kategorii URL.</w:t>
            </w:r>
          </w:p>
        </w:tc>
        <w:tc>
          <w:tcPr>
            <w:tcW w:w="3491" w:type="dxa"/>
            <w:shd w:val="clear" w:color="auto" w:fill="auto"/>
          </w:tcPr>
          <w:p w14:paraId="58235F9E" w14:textId="7DECB916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430E9DB7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827B6FC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6A3AFFF" w14:textId="4FC862D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antywirusowa</w:t>
            </w:r>
          </w:p>
        </w:tc>
        <w:tc>
          <w:tcPr>
            <w:tcW w:w="4733" w:type="dxa"/>
            <w:shd w:val="clear" w:color="auto" w:fill="auto"/>
          </w:tcPr>
          <w:p w14:paraId="55843A3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4CB9B8E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skanowanie archiwów, w tym co najmniej: zip, RAR.</w:t>
            </w:r>
          </w:p>
          <w:p w14:paraId="10A3AA4C" w14:textId="0BF751DC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dysponować sygnaturami do ochrony urządzeń mobilnych (co najmniej dla systemu operacyjnego Android).</w:t>
            </w:r>
          </w:p>
        </w:tc>
        <w:tc>
          <w:tcPr>
            <w:tcW w:w="3491" w:type="dxa"/>
            <w:shd w:val="clear" w:color="auto" w:fill="auto"/>
          </w:tcPr>
          <w:p w14:paraId="71C8E539" w14:textId="44D4B988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01F54683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2C53F70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41F69E2" w14:textId="2A0C1387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przed atakami</w:t>
            </w:r>
          </w:p>
        </w:tc>
        <w:tc>
          <w:tcPr>
            <w:tcW w:w="4733" w:type="dxa"/>
            <w:shd w:val="clear" w:color="auto" w:fill="auto"/>
          </w:tcPr>
          <w:p w14:paraId="2C55FB22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IPS powinna opierać się co najmniej na analizie sygnaturowej oraz na analizie anomalii w protokołach sieciowych.</w:t>
            </w:r>
          </w:p>
          <w:p w14:paraId="7990201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powinien chronić przed atakami na aplikacje pracujące na niestandardowych portach.</w:t>
            </w:r>
          </w:p>
          <w:p w14:paraId="292B086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Baza sygnatur ataków powinna zawierać minimum 5000 wpisów i być aktualizowana automatycznie, zgodnie z harmonogramem definiowanym przez administratora.</w:t>
            </w:r>
          </w:p>
          <w:p w14:paraId="72EE950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systemu musi mieć możliwość definiowania własnych wyjątków oraz własnych sygnatur.</w:t>
            </w:r>
          </w:p>
          <w:p w14:paraId="45D95663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zapewniać wykrywanie anomalii protokołów i ruchu sieciowego, realizując tym samym podstawową ochronę przed atakami typu DoS oraz DDoS.</w:t>
            </w:r>
          </w:p>
          <w:p w14:paraId="3DD3EA3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Mechanizmy ochrony dla aplikacji Web’owych na poziomie sygnaturowym (co najmniej ochrona przed: CSS, SQL Injecton, Trojany, Exploity, Roboty) oraz możliwość kontrolowania długości nagłówka, ilości parametrów URL, Cookies.</w:t>
            </w:r>
          </w:p>
          <w:p w14:paraId="2C61B46B" w14:textId="05CCCFB8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Wykrywanie i blokowanie komunikacji C&amp;C do sieci botnet.</w:t>
            </w:r>
          </w:p>
        </w:tc>
        <w:tc>
          <w:tcPr>
            <w:tcW w:w="3491" w:type="dxa"/>
            <w:shd w:val="clear" w:color="auto" w:fill="auto"/>
          </w:tcPr>
          <w:p w14:paraId="3B5333C1" w14:textId="0992E66C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FE5E55F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99EC96F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BA289DC" w14:textId="1D497EDE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</w:t>
            </w:r>
          </w:p>
        </w:tc>
        <w:tc>
          <w:tcPr>
            <w:tcW w:w="4733" w:type="dxa"/>
            <w:shd w:val="clear" w:color="auto" w:fill="auto"/>
          </w:tcPr>
          <w:p w14:paraId="2794C6E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Funkcja kontroli aplikacji powinna umożliwiać kontrolę ruchu na podstawie głębokiej analizy pakietów, nie bazując jedynie na wartościach portów TCP/UDP.</w:t>
            </w:r>
          </w:p>
          <w:p w14:paraId="119EF42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Baza kontroli aplikacji powinna zawierać minimum 2100 sygnatur i być aktualizowana automatycznie, zgodnie z harmonogramem definiowanym przez administratora.</w:t>
            </w:r>
          </w:p>
          <w:p w14:paraId="1A09D936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Aplikacje chmurowe (co najmniej: Facebook, Google Docs, Dropbox) powinny być kontrolowane pod względem wykonywanych czynności na przykład wysyłanie czy pobieranie plików.</w:t>
            </w:r>
          </w:p>
          <w:p w14:paraId="06DE99F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Baza powinna zawierać kategorie aplikacji szczególnie istotne z punktu widzenia bezpieczeństwa: proxy, P2P.</w:t>
            </w:r>
          </w:p>
          <w:p w14:paraId="458F81EE" w14:textId="24C4D4F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systemu musi mieć możliwość definiowania wyjątków oraz własnych sygnatur.</w:t>
            </w:r>
          </w:p>
        </w:tc>
        <w:tc>
          <w:tcPr>
            <w:tcW w:w="3491" w:type="dxa"/>
            <w:shd w:val="clear" w:color="auto" w:fill="auto"/>
          </w:tcPr>
          <w:p w14:paraId="2D786C77" w14:textId="65CCA974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7E564FEC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19D6D0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F6CF876" w14:textId="2E2C0CAF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stron WWW</w:t>
            </w:r>
          </w:p>
        </w:tc>
        <w:tc>
          <w:tcPr>
            <w:tcW w:w="4733" w:type="dxa"/>
            <w:shd w:val="clear" w:color="auto" w:fill="auto"/>
          </w:tcPr>
          <w:p w14:paraId="6AEF6B7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Moduł kontroli stron WWW musi korzystać z bazy zawierającej co najmniej 40 milionów adresów URL pogrupowanych w kategorie tematyczne.</w:t>
            </w:r>
          </w:p>
          <w:p w14:paraId="7DF9AE08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filtra www powinny być dostępne kategorie istotne z punktu widzenia bezpieczeństwa, jak: malware (lub inne będące źródłem złośliwego oprogramowania), phishing, spam, Dynamic DNS, proxy.</w:t>
            </w:r>
          </w:p>
          <w:p w14:paraId="6E965CF8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Filtr WWW musi dostarczać kategorii stron zabronionych prawem: Hazard.</w:t>
            </w:r>
          </w:p>
          <w:p w14:paraId="19797DD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musi mieć możliwość nadpisywania kategorii oraz tworzenia wyjątków – białe/czarne listy dla adresów URL.</w:t>
            </w:r>
          </w:p>
          <w:p w14:paraId="64DE9D8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      </w:r>
          </w:p>
          <w:p w14:paraId="1284D349" w14:textId="4B4DB20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musi mieć możliwość definiowania komunikatów zwracanych użytkownikowi dla różnych akcji podejmowanych przez moduł filtrowania.</w:t>
            </w:r>
          </w:p>
        </w:tc>
        <w:tc>
          <w:tcPr>
            <w:tcW w:w="3491" w:type="dxa"/>
            <w:shd w:val="clear" w:color="auto" w:fill="auto"/>
          </w:tcPr>
          <w:p w14:paraId="0CAA5A49" w14:textId="6BE5EE27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07B3FADD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504513C9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514D406" w14:textId="7EB4D2DF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4733" w:type="dxa"/>
            <w:shd w:val="clear" w:color="auto" w:fill="auto"/>
          </w:tcPr>
          <w:p w14:paraId="7A0AA4A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weryfikację tożsamości użytkowników za pomocą:</w:t>
            </w:r>
          </w:p>
          <w:p w14:paraId="055B8D63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Haseł statycznych i definicji użytkowników przechowywanych w lokalnej bazie systemu.</w:t>
            </w:r>
          </w:p>
          <w:p w14:paraId="244BC60A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Haseł statycznych i definicji użytkowników przechowywanych w bazach zgodnych z LDAP.</w:t>
            </w:r>
          </w:p>
          <w:p w14:paraId="09F93485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Haseł dynamicznych (RADIUS, RSA SecurID) w oparciu o zewnętrzne bazy danych.</w:t>
            </w:r>
          </w:p>
          <w:p w14:paraId="38607F59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Musi istnieć możliwość zastosowania w tym procesie uwierzytelniania dwu-składnikowego.</w:t>
            </w:r>
          </w:p>
          <w:p w14:paraId="0B16A108" w14:textId="6902598A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Rozwiązanie powinno umożliwiać budowę architektury uwierzytelniania typu Single Sign On przy integracji ze środowiskiem Active Directory oraz zastosowanie innych mechanizmów: RADIUS lub API.</w:t>
            </w:r>
          </w:p>
        </w:tc>
        <w:tc>
          <w:tcPr>
            <w:tcW w:w="3491" w:type="dxa"/>
            <w:shd w:val="clear" w:color="auto" w:fill="auto"/>
          </w:tcPr>
          <w:p w14:paraId="7E2C61E1" w14:textId="5C1DB392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38750877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EABA928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A853833" w14:textId="1A31E5AB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</w:t>
            </w:r>
          </w:p>
        </w:tc>
        <w:tc>
          <w:tcPr>
            <w:tcW w:w="4733" w:type="dxa"/>
            <w:shd w:val="clear" w:color="auto" w:fill="auto"/>
          </w:tcPr>
          <w:p w14:paraId="07447F2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Elementy systemu bezpieczeństwa muszą mieć możliwość zarządzania lokalnego z wykorzystaniem protokołów: HTTPS oraz SSH, jak i powinny mieć możliwość współpracy z dedykowanymi platformami centralnego zarządzania i monitorowania.</w:t>
            </w:r>
          </w:p>
          <w:p w14:paraId="69CDDCB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Komunikacja systemów zabezpieczeń z platformami centralnego zarządzania musi być realizowana z wykorzystaniem szyfrowanych protokołów.</w:t>
            </w:r>
          </w:p>
          <w:p w14:paraId="19986BFD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Powinna istnieć możliwość włączenia mechanizmów uwierzytelniania dwu-składnikowego dla dostępu administracyjnego.</w:t>
            </w:r>
          </w:p>
          <w:p w14:paraId="07737BC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System musi współpracować z rozwiązaniami monitorowania poprzez protokoły SNMP w wersjach 2c, 3 oraz umożliwiać przekazywanie statystyk ruchu za pomocą protokołów netflow lub sflow.</w:t>
            </w:r>
          </w:p>
          <w:p w14:paraId="7460B4A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mieć możliwość zarządzania przez systemy firm trzecich poprzez API, do którego producent udostępnia dokumentację.</w:t>
            </w:r>
          </w:p>
          <w:p w14:paraId="23C9E01C" w14:textId="3CFFFE7B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Element systemu pełniący funkcję Firewal musi posiadać wbudowane narzędzia diagnostyczne, przynajmniej: ping, traceroute, podglądu pakietów, monitorowanie procesowania sesji oraz stanu sesji firewall.</w:t>
            </w:r>
          </w:p>
        </w:tc>
        <w:tc>
          <w:tcPr>
            <w:tcW w:w="3491" w:type="dxa"/>
            <w:shd w:val="clear" w:color="auto" w:fill="auto"/>
          </w:tcPr>
          <w:p w14:paraId="12A75503" w14:textId="71CA9E07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5BE1FF02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7CD295CB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5C98169" w14:textId="43D27FFD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Logowanie</w:t>
            </w:r>
          </w:p>
        </w:tc>
        <w:tc>
          <w:tcPr>
            <w:tcW w:w="4733" w:type="dxa"/>
            <w:shd w:val="clear" w:color="auto" w:fill="auto"/>
          </w:tcPr>
          <w:p w14:paraId="7D84D57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Elementy systemu bezpieczeństwa muszą realizować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6BFD234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693FECF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Logowanie musi obejmować zdarzenia dotyczące wszystkich modułów sieciowych i bezpieczeństwa oferowanego systemu.</w:t>
            </w:r>
          </w:p>
          <w:p w14:paraId="0E766BF2" w14:textId="54723E75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Musi istnieć możliwość logowania do serwera SYSLOG.</w:t>
            </w:r>
          </w:p>
        </w:tc>
        <w:tc>
          <w:tcPr>
            <w:tcW w:w="3491" w:type="dxa"/>
            <w:shd w:val="clear" w:color="auto" w:fill="auto"/>
          </w:tcPr>
          <w:p w14:paraId="7017CB5F" w14:textId="4F423CC8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4B7396D2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800E78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97750FD" w14:textId="3DD2E4F9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4733" w:type="dxa"/>
            <w:shd w:val="clear" w:color="auto" w:fill="auto"/>
          </w:tcPr>
          <w:p w14:paraId="5EA6EF7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Poszczególne elementy oferowanego systemu bezpieczeństwa powinny posiadać następujące certyfikacje:</w:t>
            </w:r>
          </w:p>
          <w:p w14:paraId="453D54E3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lub EAL4 dla funkcji Firewall.</w:t>
            </w:r>
          </w:p>
          <w:p w14:paraId="5CEE6C31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dla funkcji IPS lub NSS Labs w kategorii NGFW.</w:t>
            </w:r>
          </w:p>
          <w:p w14:paraId="41B98AF0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dla funkcji IPSec VPN.</w:t>
            </w:r>
          </w:p>
          <w:p w14:paraId="316AC48A" w14:textId="39BE8453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dla funkcji SSL VPN.</w:t>
            </w:r>
          </w:p>
        </w:tc>
        <w:tc>
          <w:tcPr>
            <w:tcW w:w="3491" w:type="dxa"/>
            <w:shd w:val="clear" w:color="auto" w:fill="auto"/>
          </w:tcPr>
          <w:p w14:paraId="6802B8AC" w14:textId="023453E4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99DACC3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C6DC531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A32A68C" w14:textId="454571E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Serwisy i licencje</w:t>
            </w:r>
          </w:p>
        </w:tc>
        <w:tc>
          <w:tcPr>
            <w:tcW w:w="4733" w:type="dxa"/>
            <w:shd w:val="clear" w:color="auto" w:fill="auto"/>
          </w:tcPr>
          <w:p w14:paraId="142EFF1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postępowania powinny zostać dostarczone licencje upoważniające do korzystania z aktualnych baz funkcji ochronnych producenta i serwisów. Powinny one obejmować na okres 36 miesięcy:</w:t>
            </w:r>
          </w:p>
          <w:p w14:paraId="69FCBEDD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aplikacji,</w:t>
            </w:r>
          </w:p>
          <w:p w14:paraId="20331641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IPS,</w:t>
            </w:r>
          </w:p>
          <w:p w14:paraId="62E979A7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antywirus (z uwzględnieniem sygnatur do ochrony urządzeń mobilnych - co najmniej dla systemu operacyjnego Android),</w:t>
            </w:r>
          </w:p>
          <w:p w14:paraId="31ECE4CB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analiza typu Sandbox,</w:t>
            </w:r>
          </w:p>
          <w:p w14:paraId="68121384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antyspam,</w:t>
            </w:r>
          </w:p>
          <w:p w14:paraId="18838BA4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filtrowanie stron WWW (web filtering),</w:t>
            </w:r>
          </w:p>
          <w:p w14:paraId="542BEFBF" w14:textId="6B61E627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bazy reputacyjne adresów IP/domen.</w:t>
            </w:r>
          </w:p>
        </w:tc>
        <w:tc>
          <w:tcPr>
            <w:tcW w:w="3491" w:type="dxa"/>
            <w:shd w:val="clear" w:color="auto" w:fill="auto"/>
          </w:tcPr>
          <w:p w14:paraId="349956A4" w14:textId="265F31AF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C46AD" w:rsidRPr="0061030E" w14:paraId="104154F9" w14:textId="77777777" w:rsidTr="00FE1609">
        <w:tblPrEx>
          <w:jc w:val="left"/>
        </w:tblPrEx>
        <w:trPr>
          <w:trHeight w:val="449"/>
        </w:trPr>
        <w:tc>
          <w:tcPr>
            <w:tcW w:w="523" w:type="dxa"/>
            <w:shd w:val="clear" w:color="auto" w:fill="auto"/>
          </w:tcPr>
          <w:p w14:paraId="30F9B737" w14:textId="77777777" w:rsidR="008C46AD" w:rsidRPr="00873483" w:rsidRDefault="008C46AD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  <w:bookmarkStart w:id="1" w:name="_Hlk77176294"/>
          </w:p>
        </w:tc>
        <w:tc>
          <w:tcPr>
            <w:tcW w:w="1730" w:type="dxa"/>
            <w:shd w:val="clear" w:color="auto" w:fill="auto"/>
          </w:tcPr>
          <w:p w14:paraId="76F694EA" w14:textId="16018B1C" w:rsidR="008C46AD" w:rsidRPr="00873483" w:rsidRDefault="008C46AD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dodatkowe</w:t>
            </w:r>
          </w:p>
        </w:tc>
        <w:tc>
          <w:tcPr>
            <w:tcW w:w="4733" w:type="dxa"/>
            <w:shd w:val="clear" w:color="auto" w:fill="auto"/>
          </w:tcPr>
          <w:p w14:paraId="0326AF33" w14:textId="57F0175F" w:rsidR="008C46AD" w:rsidRPr="008C46AD" w:rsidRDefault="008C46AD" w:rsidP="008C46AD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wymaga, iż powyższy system będzie współpracował z posiadanym przez Zamawiającego zaporą ogniową Fortinet FG-200E.</w:t>
            </w:r>
          </w:p>
        </w:tc>
        <w:tc>
          <w:tcPr>
            <w:tcW w:w="3491" w:type="dxa"/>
            <w:shd w:val="clear" w:color="auto" w:fill="auto"/>
          </w:tcPr>
          <w:p w14:paraId="7E1BEC33" w14:textId="5C227EC2" w:rsidR="008C46AD" w:rsidRPr="00873483" w:rsidRDefault="008C46AD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bookmarkEnd w:id="1"/>
      <w:tr w:rsidR="00873483" w:rsidRPr="0061030E" w14:paraId="74AC8015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7ABEDE3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14:paraId="39D1EB77" w14:textId="1280A17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4733" w:type="dxa"/>
            <w:shd w:val="clear" w:color="auto" w:fill="auto"/>
          </w:tcPr>
          <w:p w14:paraId="6BBE9B6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być objęty serwisem gwarancyjnym producenta przez okres 36 miesięcy, polegającym na naprawie zgłoszonych usterek i awarii lub wymianie urządzenia w przypadku jego wadliwości, która uniemożliwia naprawę.</w:t>
            </w:r>
          </w:p>
          <w:p w14:paraId="45431171" w14:textId="0A5BD9F1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tego serwisu producent musi zapewniać również dostęp do aktualizacji oprogramowania. Wsparcie techniczne w trybie 8x5 (8 godzin x 5 dni w tygodniu).</w:t>
            </w:r>
          </w:p>
        </w:tc>
        <w:tc>
          <w:tcPr>
            <w:tcW w:w="3491" w:type="dxa"/>
            <w:shd w:val="clear" w:color="auto" w:fill="auto"/>
          </w:tcPr>
          <w:p w14:paraId="3900F464" w14:textId="1CAAD4CC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D24FB0F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0A5AD25" w14:textId="77777777" w:rsidR="00873483" w:rsidRPr="00873483" w:rsidRDefault="00873483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EF02F86" w14:textId="77777777" w:rsidR="00873483" w:rsidRPr="00873483" w:rsidRDefault="008734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7FE98129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2F5BDB4E" w14:textId="3C0CFC54" w:rsidR="00873483" w:rsidRPr="00873483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System jest objęty serwisem gwarancyjnym producenta przez okres 60 miesięcy, polegającym na naprawie zgłoszonych usterek i awarii lub wymianie urządzenia w przypadku jego wadliwości, która uniemożliwia naprawę. W ramach tego serwisu producent zapewnia również dostęp do aktualizacji oprogramowania. Wsparcie techniczne w trybie 8x5 (8 godzin x 5 dni w tygodniu).</w:t>
            </w:r>
          </w:p>
        </w:tc>
        <w:tc>
          <w:tcPr>
            <w:tcW w:w="3491" w:type="dxa"/>
            <w:shd w:val="clear" w:color="auto" w:fill="auto"/>
          </w:tcPr>
          <w:p w14:paraId="71F91EF1" w14:textId="2B2E9826" w:rsidR="00873483" w:rsidRPr="0061030E" w:rsidRDefault="00873483" w:rsidP="00873483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p w14:paraId="20C1C6B2" w14:textId="77777777" w:rsidR="0036029B" w:rsidRPr="00F84F1D" w:rsidRDefault="0036029B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Pr="00F84F1D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2A8A6CD5" w14:textId="376BE463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z </w:t>
      </w:r>
      <w:r w:rsidR="00C82380" w:rsidRPr="00F84F1D">
        <w:rPr>
          <w:rFonts w:ascii="Tahoma" w:eastAsia="Calibri" w:hAnsi="Tahoma" w:cs="Tahoma"/>
          <w:sz w:val="20"/>
          <w:szCs w:val="20"/>
        </w:rPr>
        <w:t>SWZ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0F475F" w:rsidRPr="00F84F1D">
        <w:rPr>
          <w:rFonts w:ascii="Tahoma" w:eastAsia="Calibri" w:hAnsi="Tahoma" w:cs="Tahoma"/>
          <w:sz w:val="20"/>
          <w:szCs w:val="20"/>
        </w:rPr>
        <w:t>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46E5ADDC" w14:textId="31B4D588" w:rsidR="008A44FF" w:rsidRPr="00F84F1D" w:rsidRDefault="008A44F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</w:t>
      </w:r>
      <w:r w:rsidR="00EF0799">
        <w:rPr>
          <w:rFonts w:ascii="Tahoma" w:hAnsi="Tahoma" w:cs="Tahoma"/>
          <w:sz w:val="20"/>
          <w:szCs w:val="20"/>
        </w:rPr>
        <w:t>/</w:t>
      </w:r>
      <w:r w:rsidRPr="00F84F1D">
        <w:rPr>
          <w:rFonts w:ascii="Tahoma" w:hAnsi="Tahoma" w:cs="Tahoma"/>
          <w:sz w:val="20"/>
          <w:szCs w:val="20"/>
        </w:rPr>
        <w:t>my wykonanie całości niniejszego zamówienia zgodnie z treścią: SWZ, wyjaśnień do SWZ oraz jej modyfikacji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744BA597" w14:textId="01709116" w:rsidR="00C82380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łem/liśmy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SWZ i akceptuj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r w:rsidR="00AE506F" w:rsidRPr="00F84F1D">
        <w:rPr>
          <w:rFonts w:ascii="Tahoma" w:eastAsia="Calibri" w:hAnsi="Tahoma" w:cs="Tahoma"/>
          <w:sz w:val="20"/>
          <w:szCs w:val="20"/>
        </w:rPr>
        <w:t>emy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emy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50606799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</w:t>
      </w:r>
      <w:r w:rsidR="008A44FF" w:rsidRPr="00F84F1D">
        <w:rPr>
          <w:rFonts w:ascii="Tahoma" w:hAnsi="Tahoma" w:cs="Tahoma"/>
          <w:sz w:val="20"/>
          <w:szCs w:val="20"/>
        </w:rPr>
        <w:t xml:space="preserve">yrażam/y zgodę na warunki płatności określone przez </w:t>
      </w:r>
      <w:r w:rsidR="00583BA7">
        <w:rPr>
          <w:rFonts w:ascii="Tahoma" w:hAnsi="Tahoma" w:cs="Tahoma"/>
          <w:sz w:val="20"/>
          <w:szCs w:val="20"/>
        </w:rPr>
        <w:t>Z</w:t>
      </w:r>
      <w:r w:rsidR="00583BA7" w:rsidRPr="00F84F1D">
        <w:rPr>
          <w:rFonts w:ascii="Tahoma" w:hAnsi="Tahoma" w:cs="Tahoma"/>
          <w:sz w:val="20"/>
          <w:szCs w:val="20"/>
        </w:rPr>
        <w:t xml:space="preserve">amawiającego </w:t>
      </w:r>
      <w:r w:rsidR="008A44FF" w:rsidRPr="00F84F1D">
        <w:rPr>
          <w:rFonts w:ascii="Tahoma" w:hAnsi="Tahoma" w:cs="Tahoma"/>
          <w:sz w:val="20"/>
          <w:szCs w:val="20"/>
        </w:rPr>
        <w:t>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1B2FBAEA" w:rsidR="00FA4971" w:rsidRDefault="002C7DB3" w:rsidP="00A77F4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</w:t>
      </w:r>
      <w:r w:rsidR="00EF0799">
        <w:rPr>
          <w:rFonts w:ascii="Tahoma" w:hAnsi="Tahoma" w:cs="Tahoma"/>
          <w:sz w:val="20"/>
          <w:szCs w:val="20"/>
          <w:lang w:eastAsia="ar-SA"/>
        </w:rPr>
        <w:t>/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y wykonać sami </w:t>
      </w:r>
      <w:r w:rsidR="00EF0799">
        <w:rPr>
          <w:rFonts w:ascii="Tahoma" w:hAnsi="Tahoma" w:cs="Tahoma"/>
          <w:sz w:val="20"/>
          <w:szCs w:val="20"/>
          <w:lang w:eastAsia="ar-SA"/>
        </w:rPr>
        <w:t>lub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przewiduj</w:t>
      </w:r>
      <w:r w:rsidR="00EF0799">
        <w:rPr>
          <w:rFonts w:ascii="Tahoma" w:hAnsi="Tahoma" w:cs="Tahoma"/>
          <w:sz w:val="20"/>
          <w:szCs w:val="20"/>
          <w:lang w:eastAsia="ar-SA"/>
        </w:rPr>
        <w:t>ę/e</w:t>
      </w:r>
      <w:r w:rsidRPr="00F84F1D">
        <w:rPr>
          <w:rFonts w:ascii="Tahoma" w:hAnsi="Tahoma" w:cs="Tahoma"/>
          <w:sz w:val="20"/>
          <w:szCs w:val="20"/>
          <w:lang w:eastAsia="ar-SA"/>
        </w:rPr>
        <w:t>my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4C0E6735" w:rsidR="000F475F" w:rsidRPr="00F84F1D" w:rsidRDefault="00FF6194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Oświadczam</w:t>
      </w:r>
      <w:r w:rsidR="00EF0799">
        <w:rPr>
          <w:rFonts w:ascii="Tahoma" w:eastAsia="Calibri" w:hAnsi="Tahoma" w:cs="Tahoma"/>
          <w:sz w:val="20"/>
          <w:szCs w:val="20"/>
        </w:rPr>
        <w:t>/</w:t>
      </w:r>
      <w:r w:rsidRPr="00F84F1D">
        <w:rPr>
          <w:rFonts w:ascii="Tahoma" w:eastAsia="Calibri" w:hAnsi="Tahoma" w:cs="Tahoma"/>
          <w:sz w:val="20"/>
          <w:szCs w:val="20"/>
        </w:rPr>
        <w:t xml:space="preserve">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A77F4B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567AA1D4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 xml:space="preserve">(Wykonawca w przypadku zastrzeżenia informacji stanowiących tajemnicę przedsiębiorstwa należy postąpić zgodnie z zapisami </w:t>
      </w:r>
      <w:r w:rsidR="001E107D">
        <w:rPr>
          <w:rStyle w:val="FontStyle31"/>
        </w:rPr>
        <w:t>pkt. 16.4 SWZ</w:t>
      </w:r>
      <w:r w:rsidRPr="00F84F1D">
        <w:rPr>
          <w:rStyle w:val="FontStyle31"/>
        </w:rPr>
        <w:t>)</w:t>
      </w:r>
    </w:p>
    <w:p w14:paraId="63EAE8D2" w14:textId="0100F604" w:rsidR="000F475F" w:rsidRPr="00F84F1D" w:rsidRDefault="000F475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lastRenderedPageBreak/>
        <w:t>Wadium wniesione w pieniądzu należy zwrócić na rachunek bankowy w ........................................................</w:t>
      </w:r>
      <w:r w:rsidR="00EF0799">
        <w:rPr>
          <w:rFonts w:ascii="Tahoma" w:hAnsi="Tahoma" w:cs="Tahoma"/>
          <w:sz w:val="20"/>
          <w:szCs w:val="20"/>
        </w:rPr>
        <w:br/>
      </w:r>
      <w:r w:rsidR="00EF0799">
        <w:rPr>
          <w:rFonts w:ascii="Tahoma" w:hAnsi="Tahoma" w:cs="Tahoma"/>
          <w:sz w:val="20"/>
          <w:szCs w:val="20"/>
        </w:rPr>
        <w:br/>
      </w:r>
      <w:r w:rsidRPr="00F84F1D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45F2A3A5" w14:textId="27F3DE16" w:rsidR="00326FB2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Zgodnie z treścią art. </w:t>
      </w:r>
      <w:r w:rsidR="001E107D">
        <w:rPr>
          <w:rFonts w:ascii="Tahoma" w:hAnsi="Tahoma" w:cs="Tahoma"/>
          <w:sz w:val="20"/>
          <w:szCs w:val="20"/>
        </w:rPr>
        <w:t>225</w:t>
      </w:r>
      <w:r w:rsidRPr="00F84F1D">
        <w:rPr>
          <w:rFonts w:ascii="Tahoma" w:hAnsi="Tahoma" w:cs="Tahoma"/>
          <w:sz w:val="20"/>
          <w:szCs w:val="20"/>
        </w:rPr>
        <w:t xml:space="preserve"> ust. </w:t>
      </w:r>
      <w:r w:rsidR="001E107D">
        <w:rPr>
          <w:rFonts w:ascii="Tahoma" w:hAnsi="Tahoma" w:cs="Tahoma"/>
          <w:sz w:val="20"/>
          <w:szCs w:val="20"/>
        </w:rPr>
        <w:t>2</w:t>
      </w:r>
      <w:r w:rsidRPr="00F84F1D">
        <w:rPr>
          <w:rFonts w:ascii="Tahoma" w:hAnsi="Tahoma" w:cs="Tahoma"/>
          <w:sz w:val="20"/>
          <w:szCs w:val="20"/>
        </w:rPr>
        <w:t xml:space="preserve"> ustawy Pzp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A77F4B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Pr="00F84F1D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2FD1" w14:textId="77777777" w:rsidR="005C5018" w:rsidRDefault="005C5018">
      <w:r>
        <w:separator/>
      </w:r>
    </w:p>
  </w:endnote>
  <w:endnote w:type="continuationSeparator" w:id="0">
    <w:p w14:paraId="6EDD3237" w14:textId="77777777" w:rsidR="005C5018" w:rsidRDefault="005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8349" w14:textId="77777777" w:rsidR="005C5018" w:rsidRDefault="005C5018">
      <w:r>
        <w:separator/>
      </w:r>
    </w:p>
  </w:footnote>
  <w:footnote w:type="continuationSeparator" w:id="0">
    <w:p w14:paraId="37BCBB20" w14:textId="77777777" w:rsidR="005C5018" w:rsidRDefault="005C5018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6133" w14:textId="21AE2335" w:rsidR="00326FB2" w:rsidRPr="00326FB2" w:rsidRDefault="00073ACE" w:rsidP="00326FB2">
    <w:pPr>
      <w:pStyle w:val="Nagwek"/>
      <w:rPr>
        <w:rFonts w:ascii="Tahoma" w:hAnsi="Tahoma" w:cs="Tahoma"/>
        <w:sz w:val="20"/>
        <w:szCs w:val="20"/>
        <w:lang w:val="pl-PL"/>
      </w:rPr>
    </w:pPr>
    <w:r w:rsidRPr="00326FB2">
      <w:rPr>
        <w:rFonts w:ascii="Tahoma" w:hAnsi="Tahoma" w:cs="Tahoma"/>
        <w:sz w:val="20"/>
        <w:szCs w:val="20"/>
        <w:lang w:val="pl-PL"/>
      </w:rPr>
      <w:t>Znak sprawy: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  <w:r w:rsidR="00F700D5" w:rsidRPr="00F700D5">
      <w:rPr>
        <w:rFonts w:ascii="Tahoma" w:hAnsi="Tahoma" w:cs="Tahoma"/>
        <w:color w:val="000000" w:themeColor="text1"/>
        <w:sz w:val="20"/>
        <w:szCs w:val="20"/>
        <w:lang w:val="pl-PL"/>
      </w:rPr>
      <w:t>ZTM.EZ.3310.7.2021</w:t>
    </w:r>
  </w:p>
  <w:p w14:paraId="4751BF90" w14:textId="55C00E01" w:rsidR="00027592" w:rsidRPr="00027592" w:rsidRDefault="0011243C">
    <w:pPr>
      <w:pStyle w:val="Nagwek"/>
      <w:rPr>
        <w:lang w:val="pl-PL"/>
      </w:rPr>
    </w:pPr>
    <w:r>
      <w:rPr>
        <w:rFonts w:ascii="Tahoma" w:hAnsi="Tahoma" w:cs="Tahoma"/>
        <w:sz w:val="20"/>
        <w:szCs w:val="20"/>
        <w:lang w:val="pl-PL"/>
      </w:rPr>
      <w:t>Załącznik nr</w:t>
    </w:r>
    <w:r w:rsidR="00F700D5">
      <w:rPr>
        <w:rFonts w:ascii="Tahoma" w:hAnsi="Tahoma" w:cs="Tahoma"/>
        <w:sz w:val="20"/>
        <w:szCs w:val="20"/>
        <w:lang w:val="pl-PL"/>
      </w:rPr>
      <w:t xml:space="preserve"> 3</w:t>
    </w:r>
    <w:r w:rsidR="00181075">
      <w:rPr>
        <w:rFonts w:ascii="Tahoma" w:hAnsi="Tahoma" w:cs="Tahoma"/>
        <w:sz w:val="20"/>
        <w:szCs w:val="20"/>
        <w:lang w:val="pl-PL"/>
      </w:rPr>
      <w:t xml:space="preserve"> do SWZ</w:t>
    </w:r>
    <w:r w:rsidR="00F700D5">
      <w:rPr>
        <w:rFonts w:ascii="Tahoma" w:hAnsi="Tahoma" w:cs="Tahoma"/>
        <w:sz w:val="20"/>
        <w:szCs w:val="20"/>
        <w:lang w:val="pl-PL"/>
      </w:rPr>
      <w:t xml:space="preserve"> </w:t>
    </w:r>
    <w:r>
      <w:rPr>
        <w:rFonts w:ascii="Tahoma" w:hAnsi="Tahoma" w:cs="Tahoma"/>
        <w:sz w:val="20"/>
        <w:szCs w:val="20"/>
        <w:lang w:val="pl-PL"/>
      </w:rPr>
      <w:t xml:space="preserve"> </w:t>
    </w:r>
    <w:r w:rsidR="00073ACE">
      <w:rPr>
        <w:lang w:val="pl-PL"/>
      </w:rPr>
      <w:tab/>
    </w:r>
    <w:r w:rsidR="00073AC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F13D2E"/>
    <w:multiLevelType w:val="hybridMultilevel"/>
    <w:tmpl w:val="E5826164"/>
    <w:lvl w:ilvl="0" w:tplc="574ECBFA">
      <w:numFmt w:val="bullet"/>
      <w:lvlText w:val="•"/>
      <w:lvlJc w:val="left"/>
      <w:pPr>
        <w:ind w:left="70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84183"/>
    <w:multiLevelType w:val="hybridMultilevel"/>
    <w:tmpl w:val="0D3AE24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07F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77D65"/>
    <w:multiLevelType w:val="hybridMultilevel"/>
    <w:tmpl w:val="A39653E2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60D9"/>
    <w:multiLevelType w:val="hybridMultilevel"/>
    <w:tmpl w:val="66DC6A4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51A4"/>
    <w:multiLevelType w:val="hybridMultilevel"/>
    <w:tmpl w:val="B182388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B338F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A87"/>
    <w:multiLevelType w:val="hybridMultilevel"/>
    <w:tmpl w:val="C50E2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2868D1"/>
    <w:multiLevelType w:val="hybridMultilevel"/>
    <w:tmpl w:val="E3061354"/>
    <w:lvl w:ilvl="0" w:tplc="11428D76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93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C9293E"/>
    <w:multiLevelType w:val="hybridMultilevel"/>
    <w:tmpl w:val="8EB2E7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1DE465B0"/>
    <w:multiLevelType w:val="hybridMultilevel"/>
    <w:tmpl w:val="DF1E206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2C04552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36D61"/>
    <w:multiLevelType w:val="hybridMultilevel"/>
    <w:tmpl w:val="D8E8FD96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35D8"/>
    <w:multiLevelType w:val="hybridMultilevel"/>
    <w:tmpl w:val="BE88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2213C"/>
    <w:multiLevelType w:val="hybridMultilevel"/>
    <w:tmpl w:val="40C65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9634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A0639"/>
    <w:multiLevelType w:val="hybridMultilevel"/>
    <w:tmpl w:val="D072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2C96"/>
    <w:multiLevelType w:val="hybridMultilevel"/>
    <w:tmpl w:val="A7340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6B168C"/>
    <w:multiLevelType w:val="hybridMultilevel"/>
    <w:tmpl w:val="3B26A98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27A1E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4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2D14E7"/>
    <w:multiLevelType w:val="hybridMultilevel"/>
    <w:tmpl w:val="49F2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2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A300CC"/>
    <w:multiLevelType w:val="hybridMultilevel"/>
    <w:tmpl w:val="74FA0BC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747508F6"/>
    <w:multiLevelType w:val="hybridMultilevel"/>
    <w:tmpl w:val="F4DE920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4D1F"/>
    <w:multiLevelType w:val="hybridMultilevel"/>
    <w:tmpl w:val="A828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37116"/>
    <w:multiLevelType w:val="hybridMultilevel"/>
    <w:tmpl w:val="4AB2F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325227"/>
    <w:multiLevelType w:val="hybridMultilevel"/>
    <w:tmpl w:val="E806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62F86"/>
    <w:multiLevelType w:val="hybridMultilevel"/>
    <w:tmpl w:val="A55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1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7"/>
  </w:num>
  <w:num w:numId="13">
    <w:abstractNumId w:val="4"/>
  </w:num>
  <w:num w:numId="14">
    <w:abstractNumId w:val="22"/>
  </w:num>
  <w:num w:numId="15">
    <w:abstractNumId w:val="10"/>
  </w:num>
  <w:num w:numId="16">
    <w:abstractNumId w:val="17"/>
  </w:num>
  <w:num w:numId="17">
    <w:abstractNumId w:val="21"/>
  </w:num>
  <w:num w:numId="18">
    <w:abstractNumId w:val="40"/>
  </w:num>
  <w:num w:numId="19">
    <w:abstractNumId w:val="16"/>
  </w:num>
  <w:num w:numId="20">
    <w:abstractNumId w:val="15"/>
  </w:num>
  <w:num w:numId="21">
    <w:abstractNumId w:val="34"/>
  </w:num>
  <w:num w:numId="22">
    <w:abstractNumId w:val="37"/>
  </w:num>
  <w:num w:numId="23">
    <w:abstractNumId w:val="32"/>
  </w:num>
  <w:num w:numId="24">
    <w:abstractNumId w:val="36"/>
  </w:num>
  <w:num w:numId="25">
    <w:abstractNumId w:val="24"/>
  </w:num>
  <w:num w:numId="26">
    <w:abstractNumId w:val="38"/>
  </w:num>
  <w:num w:numId="27">
    <w:abstractNumId w:val="31"/>
  </w:num>
  <w:num w:numId="28">
    <w:abstractNumId w:val="11"/>
  </w:num>
  <w:num w:numId="29">
    <w:abstractNumId w:val="33"/>
  </w:num>
  <w:num w:numId="30">
    <w:abstractNumId w:val="39"/>
  </w:num>
  <w:num w:numId="31">
    <w:abstractNumId w:val="29"/>
  </w:num>
  <w:num w:numId="32">
    <w:abstractNumId w:val="7"/>
  </w:num>
  <w:num w:numId="33">
    <w:abstractNumId w:val="8"/>
  </w:num>
  <w:num w:numId="34">
    <w:abstractNumId w:val="13"/>
  </w:num>
  <w:num w:numId="35">
    <w:abstractNumId w:val="5"/>
  </w:num>
  <w:num w:numId="36">
    <w:abstractNumId w:val="18"/>
  </w:num>
  <w:num w:numId="37">
    <w:abstractNumId w:val="35"/>
  </w:num>
  <w:num w:numId="3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44971"/>
    <w:rsid w:val="00051016"/>
    <w:rsid w:val="00055B3D"/>
    <w:rsid w:val="000649A1"/>
    <w:rsid w:val="000734D6"/>
    <w:rsid w:val="00073ACE"/>
    <w:rsid w:val="00075E25"/>
    <w:rsid w:val="00076946"/>
    <w:rsid w:val="0008017B"/>
    <w:rsid w:val="00092E04"/>
    <w:rsid w:val="00097677"/>
    <w:rsid w:val="000A0117"/>
    <w:rsid w:val="000B0320"/>
    <w:rsid w:val="000B351D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6F2E"/>
    <w:rsid w:val="000F154B"/>
    <w:rsid w:val="000F475F"/>
    <w:rsid w:val="000F564F"/>
    <w:rsid w:val="000F5F0F"/>
    <w:rsid w:val="000F699C"/>
    <w:rsid w:val="000F6F0C"/>
    <w:rsid w:val="000F7E36"/>
    <w:rsid w:val="00100F8A"/>
    <w:rsid w:val="001013FE"/>
    <w:rsid w:val="001038FE"/>
    <w:rsid w:val="00104D31"/>
    <w:rsid w:val="0011140A"/>
    <w:rsid w:val="0011243C"/>
    <w:rsid w:val="001204DD"/>
    <w:rsid w:val="001243CD"/>
    <w:rsid w:val="0012642F"/>
    <w:rsid w:val="00127F26"/>
    <w:rsid w:val="001325A3"/>
    <w:rsid w:val="00141328"/>
    <w:rsid w:val="00143D66"/>
    <w:rsid w:val="00150869"/>
    <w:rsid w:val="001521D0"/>
    <w:rsid w:val="00152C92"/>
    <w:rsid w:val="00152DC1"/>
    <w:rsid w:val="00156463"/>
    <w:rsid w:val="00164BFA"/>
    <w:rsid w:val="00171D46"/>
    <w:rsid w:val="00181075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D3436"/>
    <w:rsid w:val="001D3520"/>
    <w:rsid w:val="001D6133"/>
    <w:rsid w:val="001E107D"/>
    <w:rsid w:val="001E478B"/>
    <w:rsid w:val="0022722F"/>
    <w:rsid w:val="0024311F"/>
    <w:rsid w:val="00253BD5"/>
    <w:rsid w:val="00265813"/>
    <w:rsid w:val="00266BEC"/>
    <w:rsid w:val="0026733B"/>
    <w:rsid w:val="002848CD"/>
    <w:rsid w:val="002949D7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986"/>
    <w:rsid w:val="002E20CA"/>
    <w:rsid w:val="002E6D5C"/>
    <w:rsid w:val="002E6ECF"/>
    <w:rsid w:val="002E790D"/>
    <w:rsid w:val="002F27A5"/>
    <w:rsid w:val="002F68C7"/>
    <w:rsid w:val="002F74CD"/>
    <w:rsid w:val="00300477"/>
    <w:rsid w:val="0031565D"/>
    <w:rsid w:val="00320652"/>
    <w:rsid w:val="00320A23"/>
    <w:rsid w:val="00326FB2"/>
    <w:rsid w:val="00334324"/>
    <w:rsid w:val="00335ECE"/>
    <w:rsid w:val="003409BA"/>
    <w:rsid w:val="003431DA"/>
    <w:rsid w:val="00343B2D"/>
    <w:rsid w:val="00344D2C"/>
    <w:rsid w:val="00350CEC"/>
    <w:rsid w:val="0036029B"/>
    <w:rsid w:val="00362B53"/>
    <w:rsid w:val="00375D04"/>
    <w:rsid w:val="0039696F"/>
    <w:rsid w:val="003A6A1E"/>
    <w:rsid w:val="003B6E06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131B"/>
    <w:rsid w:val="00404E52"/>
    <w:rsid w:val="004121B8"/>
    <w:rsid w:val="004134FA"/>
    <w:rsid w:val="00426A96"/>
    <w:rsid w:val="0043520C"/>
    <w:rsid w:val="004471FF"/>
    <w:rsid w:val="00450D7B"/>
    <w:rsid w:val="00451ED4"/>
    <w:rsid w:val="00452C05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54F9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06FE5"/>
    <w:rsid w:val="00516F55"/>
    <w:rsid w:val="0052081B"/>
    <w:rsid w:val="005217EA"/>
    <w:rsid w:val="00523B01"/>
    <w:rsid w:val="00524F68"/>
    <w:rsid w:val="00525B89"/>
    <w:rsid w:val="00543FE4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06BE"/>
    <w:rsid w:val="005B10FE"/>
    <w:rsid w:val="005B3A37"/>
    <w:rsid w:val="005B5A71"/>
    <w:rsid w:val="005B7D58"/>
    <w:rsid w:val="005C396F"/>
    <w:rsid w:val="005C5018"/>
    <w:rsid w:val="005D058F"/>
    <w:rsid w:val="005D0F4B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26D4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77A1E"/>
    <w:rsid w:val="0068567B"/>
    <w:rsid w:val="0069569F"/>
    <w:rsid w:val="006A25C8"/>
    <w:rsid w:val="006A446B"/>
    <w:rsid w:val="006B4004"/>
    <w:rsid w:val="006D08B5"/>
    <w:rsid w:val="006D2642"/>
    <w:rsid w:val="006D5935"/>
    <w:rsid w:val="006E0BE6"/>
    <w:rsid w:val="006E5E63"/>
    <w:rsid w:val="006F0A61"/>
    <w:rsid w:val="006F4F4E"/>
    <w:rsid w:val="00700449"/>
    <w:rsid w:val="00703C80"/>
    <w:rsid w:val="00704C92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16B3"/>
    <w:rsid w:val="00832962"/>
    <w:rsid w:val="00834EA7"/>
    <w:rsid w:val="00835553"/>
    <w:rsid w:val="00836ED8"/>
    <w:rsid w:val="00836F41"/>
    <w:rsid w:val="00836FCB"/>
    <w:rsid w:val="0085623D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B1DE4"/>
    <w:rsid w:val="008C46AD"/>
    <w:rsid w:val="008D267C"/>
    <w:rsid w:val="008D585C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455C9"/>
    <w:rsid w:val="009572B3"/>
    <w:rsid w:val="00965400"/>
    <w:rsid w:val="009660B9"/>
    <w:rsid w:val="009758F8"/>
    <w:rsid w:val="0098075B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297E"/>
    <w:rsid w:val="00A45C4D"/>
    <w:rsid w:val="00A7354A"/>
    <w:rsid w:val="00A77F4B"/>
    <w:rsid w:val="00A813C9"/>
    <w:rsid w:val="00A82355"/>
    <w:rsid w:val="00A82703"/>
    <w:rsid w:val="00AA65F2"/>
    <w:rsid w:val="00AA73D5"/>
    <w:rsid w:val="00AB6D45"/>
    <w:rsid w:val="00AD4643"/>
    <w:rsid w:val="00AD686F"/>
    <w:rsid w:val="00AE152D"/>
    <w:rsid w:val="00AE1877"/>
    <w:rsid w:val="00AE1DA4"/>
    <w:rsid w:val="00AE2801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2145"/>
    <w:rsid w:val="00B43149"/>
    <w:rsid w:val="00B50035"/>
    <w:rsid w:val="00B5431C"/>
    <w:rsid w:val="00B543CC"/>
    <w:rsid w:val="00B573FB"/>
    <w:rsid w:val="00B57864"/>
    <w:rsid w:val="00B6788D"/>
    <w:rsid w:val="00B704E4"/>
    <w:rsid w:val="00B75CED"/>
    <w:rsid w:val="00B7706C"/>
    <w:rsid w:val="00B860DA"/>
    <w:rsid w:val="00BA02AE"/>
    <w:rsid w:val="00BC72FC"/>
    <w:rsid w:val="00BC7C89"/>
    <w:rsid w:val="00BE3417"/>
    <w:rsid w:val="00BE595B"/>
    <w:rsid w:val="00BF0595"/>
    <w:rsid w:val="00BF1FDD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76EEE"/>
    <w:rsid w:val="00C82285"/>
    <w:rsid w:val="00C82380"/>
    <w:rsid w:val="00C92E1A"/>
    <w:rsid w:val="00C972A9"/>
    <w:rsid w:val="00CB4EDB"/>
    <w:rsid w:val="00CC1325"/>
    <w:rsid w:val="00CC673F"/>
    <w:rsid w:val="00CC7E02"/>
    <w:rsid w:val="00CD4A97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F4A91"/>
    <w:rsid w:val="00E03679"/>
    <w:rsid w:val="00E05C71"/>
    <w:rsid w:val="00E0627D"/>
    <w:rsid w:val="00E07321"/>
    <w:rsid w:val="00E24373"/>
    <w:rsid w:val="00E40BF5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C4048"/>
    <w:rsid w:val="00EC40FC"/>
    <w:rsid w:val="00ED1B4A"/>
    <w:rsid w:val="00EE1940"/>
    <w:rsid w:val="00EE5C8D"/>
    <w:rsid w:val="00EF0799"/>
    <w:rsid w:val="00F006DA"/>
    <w:rsid w:val="00F0596C"/>
    <w:rsid w:val="00F078B9"/>
    <w:rsid w:val="00F1164D"/>
    <w:rsid w:val="00F20ECF"/>
    <w:rsid w:val="00F30049"/>
    <w:rsid w:val="00F462BB"/>
    <w:rsid w:val="00F47FD7"/>
    <w:rsid w:val="00F50E7B"/>
    <w:rsid w:val="00F52BFD"/>
    <w:rsid w:val="00F54EBB"/>
    <w:rsid w:val="00F555BC"/>
    <w:rsid w:val="00F700D5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92A"/>
    <w:rsid w:val="00FC1239"/>
    <w:rsid w:val="00FD4E65"/>
    <w:rsid w:val="00FD6953"/>
    <w:rsid w:val="00FE1609"/>
    <w:rsid w:val="00FE18C5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5146</Words>
  <Characters>30878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4</cp:revision>
  <cp:lastPrinted>2018-02-27T13:23:00Z</cp:lastPrinted>
  <dcterms:created xsi:type="dcterms:W3CDTF">2021-08-24T07:22:00Z</dcterms:created>
  <dcterms:modified xsi:type="dcterms:W3CDTF">2021-08-26T11:53:00Z</dcterms:modified>
</cp:coreProperties>
</file>